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noProof/>
          <w:lang w:eastAsia="it-IT"/>
        </w:rPr>
        <w:drawing>
          <wp:inline distT="0" distB="0" distL="0" distR="0" wp14:anchorId="4A2748F1" wp14:editId="602625FB">
            <wp:extent cx="904875" cy="990600"/>
            <wp:effectExtent l="0" t="0" r="9525" b="0"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13" w:rsidRDefault="00DA7113" w:rsidP="00DA711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CITTA’ DI BOVES</w:t>
      </w:r>
    </w:p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EB0BE0">
        <w:rPr>
          <w:rFonts w:asciiTheme="minorHAnsi" w:hAnsiTheme="minorHAnsi"/>
        </w:rPr>
        <w:t>Provincia di Cuneo</w:t>
      </w:r>
    </w:p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Piazza Italia n. 64</w:t>
      </w:r>
    </w:p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Tel. 0171/391811 – fax 0171/380091 – P.I. 0047508000047</w:t>
      </w:r>
    </w:p>
    <w:p w:rsidR="00DA7113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</w:t>
      </w:r>
      <w:bookmarkStart w:id="0" w:name="_GoBack"/>
      <w:bookmarkEnd w:id="0"/>
      <w:r w:rsidR="00900F81">
        <w:rPr>
          <w:rFonts w:asciiTheme="minorHAnsi" w:hAnsiTheme="minorHAnsi"/>
        </w:rPr>
        <w:fldChar w:fldCharType="begin"/>
      </w:r>
      <w:r w:rsidR="00900F81">
        <w:rPr>
          <w:rFonts w:asciiTheme="minorHAnsi" w:hAnsiTheme="minorHAnsi"/>
        </w:rPr>
        <w:instrText xml:space="preserve"> HYPERLINK "mailto:</w:instrText>
      </w:r>
      <w:r w:rsidR="00900F81" w:rsidRPr="00900F81">
        <w:rPr>
          <w:rFonts w:asciiTheme="minorHAnsi" w:hAnsiTheme="minorHAnsi"/>
        </w:rPr>
        <w:instrText>comune.boves.cn@cert.legalmail.it</w:instrText>
      </w:r>
      <w:r w:rsidR="00900F81">
        <w:rPr>
          <w:rFonts w:asciiTheme="minorHAnsi" w:hAnsiTheme="minorHAnsi"/>
        </w:rPr>
        <w:instrText xml:space="preserve">" </w:instrText>
      </w:r>
      <w:r w:rsidR="00900F81">
        <w:rPr>
          <w:rFonts w:asciiTheme="minorHAnsi" w:hAnsiTheme="minorHAnsi"/>
        </w:rPr>
        <w:fldChar w:fldCharType="separate"/>
      </w:r>
      <w:r w:rsidR="00900F81" w:rsidRPr="00066C5A">
        <w:rPr>
          <w:rStyle w:val="Collegamentoipertestuale"/>
          <w:rFonts w:asciiTheme="minorHAnsi" w:hAnsiTheme="minorHAnsi"/>
        </w:rPr>
        <w:t>comune.boves.cn@cert.legalmail.it</w:t>
      </w:r>
      <w:r w:rsidR="00900F81">
        <w:rPr>
          <w:rFonts w:asciiTheme="minorHAnsi" w:hAnsiTheme="minorHAnsi"/>
        </w:rPr>
        <w:fldChar w:fldCharType="end"/>
      </w:r>
    </w:p>
    <w:p w:rsidR="00DA7113" w:rsidRPr="00EB0BE0" w:rsidRDefault="00DA7113" w:rsidP="00DA7113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DA7113" w:rsidRPr="00327FF5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327FF5">
        <w:rPr>
          <w:rFonts w:cs="Arial"/>
          <w:b/>
          <w:bCs/>
          <w:color w:val="000000"/>
          <w:sz w:val="24"/>
          <w:szCs w:val="24"/>
        </w:rPr>
        <w:t>PROCEDURA APERTA PER L’APPALTO DEL SERVIZIO DI</w:t>
      </w:r>
    </w:p>
    <w:p w:rsidR="00DA7113" w:rsidRPr="00327FF5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327FF5">
        <w:rPr>
          <w:rFonts w:cs="Arial"/>
          <w:b/>
          <w:bCs/>
          <w:color w:val="000000"/>
          <w:sz w:val="24"/>
          <w:szCs w:val="24"/>
        </w:rPr>
        <w:t>TRASPORTO SCOLASTICO</w:t>
      </w:r>
    </w:p>
    <w:p w:rsidR="00DA7113" w:rsidRPr="00327FF5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327FF5">
        <w:rPr>
          <w:rFonts w:cs="Arial"/>
          <w:b/>
          <w:bCs/>
          <w:color w:val="000000"/>
          <w:sz w:val="24"/>
          <w:szCs w:val="24"/>
        </w:rPr>
        <w:t xml:space="preserve">A.S. 2015/2016 </w:t>
      </w:r>
    </w:p>
    <w:p w:rsidR="00DA7113" w:rsidRPr="007D5213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  <w:r w:rsidRPr="007D5213">
        <w:rPr>
          <w:rFonts w:cs="Arial"/>
          <w:b/>
          <w:color w:val="000000"/>
          <w:sz w:val="32"/>
          <w:szCs w:val="24"/>
        </w:rPr>
        <w:t xml:space="preserve">C.I.G. </w:t>
      </w:r>
      <w:r w:rsidR="00051B66" w:rsidRPr="00051B66">
        <w:rPr>
          <w:rFonts w:ascii="Candara" w:hAnsi="Candara"/>
          <w:b/>
          <w:sz w:val="32"/>
          <w:szCs w:val="32"/>
        </w:rPr>
        <w:t>6357494204</w:t>
      </w:r>
    </w:p>
    <w:p w:rsidR="00DA7113" w:rsidRPr="0005120E" w:rsidRDefault="00DA7113" w:rsidP="00DA7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05120E">
        <w:rPr>
          <w:rFonts w:cs="Arial"/>
          <w:b/>
          <w:bCs/>
          <w:color w:val="000000"/>
          <w:sz w:val="32"/>
          <w:szCs w:val="32"/>
        </w:rPr>
        <w:t>DISCIPLINARE DI GARA</w:t>
      </w: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1) Dati generali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1.1) Amministrazione aggiudicatrice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  <w:r w:rsidRPr="00DA7113">
        <w:rPr>
          <w:rFonts w:ascii="Candara" w:hAnsi="Candara" w:cs="Times New Roman"/>
        </w:rPr>
        <w:t xml:space="preserve">, ente pubblico territoriale con sede legale in piazza </w:t>
      </w:r>
      <w:r>
        <w:rPr>
          <w:rFonts w:ascii="Candara" w:hAnsi="Candara" w:cs="Times New Roman"/>
        </w:rPr>
        <w:t>Italia n. 64</w:t>
      </w:r>
      <w:r w:rsidRPr="00DA7113">
        <w:rPr>
          <w:rFonts w:ascii="Candara" w:hAnsi="Candara" w:cs="Times New Roman"/>
        </w:rPr>
        <w:t xml:space="preserve"> – </w:t>
      </w:r>
      <w:r>
        <w:rPr>
          <w:rFonts w:ascii="Candara" w:hAnsi="Candara" w:cs="Times New Roman"/>
        </w:rPr>
        <w:t>12012 Boves (CN)</w:t>
      </w:r>
      <w:r w:rsidRPr="00DA7113">
        <w:rPr>
          <w:rFonts w:ascii="Candara" w:hAnsi="Candara" w:cs="Times New Roman"/>
        </w:rPr>
        <w:t xml:space="preserve">, Italia. Telefono (+39) </w:t>
      </w:r>
      <w:r>
        <w:rPr>
          <w:rFonts w:ascii="Candara" w:hAnsi="Candara" w:cs="Times New Roman"/>
        </w:rPr>
        <w:t>0171 391811</w:t>
      </w:r>
      <w:r w:rsidRPr="00DA7113">
        <w:rPr>
          <w:rFonts w:ascii="Candara" w:hAnsi="Candara" w:cs="Times New Roman"/>
        </w:rPr>
        <w:t>, telefax (+39) 0</w:t>
      </w:r>
      <w:r>
        <w:rPr>
          <w:rFonts w:ascii="Candara" w:hAnsi="Candara" w:cs="Times New Roman"/>
        </w:rPr>
        <w:t>171 380091</w:t>
      </w:r>
      <w:r w:rsidRPr="00DA7113">
        <w:rPr>
          <w:rFonts w:ascii="Candara" w:hAnsi="Candara" w:cs="Times New Roman"/>
        </w:rPr>
        <w:t>, sito Internet (profilo di committente)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  <w:i/>
          <w:iCs/>
        </w:rPr>
        <w:t>www.comune.</w:t>
      </w:r>
      <w:r>
        <w:rPr>
          <w:rFonts w:ascii="Candara" w:hAnsi="Candara" w:cs="Times New Roman"/>
          <w:i/>
          <w:iCs/>
        </w:rPr>
        <w:t>boves.cn.it</w:t>
      </w:r>
      <w:r w:rsidRPr="00DA7113">
        <w:rPr>
          <w:rFonts w:ascii="Candara" w:hAnsi="Candara" w:cs="Times New Roman"/>
        </w:rPr>
        <w:t xml:space="preserve">, posta elettronica certificata </w:t>
      </w:r>
      <w:hyperlink r:id="rId7" w:history="1">
        <w:r w:rsidRPr="009B3DF3">
          <w:rPr>
            <w:rStyle w:val="Collegamentoipertestuale"/>
          </w:rPr>
          <w:t>comune.boves.cn@cert.legalimail.it</w:t>
        </w:r>
      </w:hyperlink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1.2) Uffici di riferimento per l’appalto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Macrostruttura </w:t>
      </w:r>
      <w:r w:rsidRPr="00DA7113">
        <w:rPr>
          <w:rFonts w:ascii="Candara" w:hAnsi="Candara" w:cs="Times New Roman"/>
        </w:rPr>
        <w:t>A</w:t>
      </w:r>
      <w:r>
        <w:rPr>
          <w:rFonts w:ascii="Candara" w:hAnsi="Candara" w:cs="Times New Roman"/>
        </w:rPr>
        <w:t>ffari Generali – Gestione Risorse Umane – Servizi alla persona</w:t>
      </w:r>
      <w:r w:rsidRPr="00DA7113">
        <w:rPr>
          <w:rFonts w:ascii="Candara" w:hAnsi="Candara" w:cs="Times New Roman"/>
        </w:rPr>
        <w:t>, Ufficio Servizi Scolastici telefono (+39)0</w:t>
      </w:r>
      <w:r>
        <w:rPr>
          <w:rFonts w:ascii="Candara" w:hAnsi="Candara" w:cs="Times New Roman"/>
        </w:rPr>
        <w:t>171 391835</w:t>
      </w:r>
      <w:r w:rsidRPr="00DA7113">
        <w:rPr>
          <w:rFonts w:ascii="Candara" w:hAnsi="Candara" w:cs="Times New Roman"/>
        </w:rPr>
        <w:t>, telefax (+39) 0</w:t>
      </w:r>
      <w:r>
        <w:rPr>
          <w:rFonts w:ascii="Candara" w:hAnsi="Candara" w:cs="Times New Roman"/>
        </w:rPr>
        <w:t>171 380091</w:t>
      </w:r>
      <w:r w:rsidRPr="00DA7113">
        <w:rPr>
          <w:rFonts w:ascii="Candara" w:hAnsi="Candara" w:cs="Times New Roman"/>
        </w:rPr>
        <w:t>, posta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elettronica </w:t>
      </w:r>
      <w:hyperlink r:id="rId8" w:history="1">
        <w:r w:rsidRPr="00A015C3">
          <w:rPr>
            <w:rStyle w:val="Collegamentoipertestuale"/>
            <w:rFonts w:ascii="Candara" w:hAnsi="Candara" w:cs="Times New Roman"/>
          </w:rPr>
          <w:t>segreteria.boves@comune.boves.cn.it</w:t>
        </w:r>
      </w:hyperlink>
      <w:r>
        <w:rPr>
          <w:rFonts w:ascii="Candara" w:hAnsi="Candara" w:cs="Times New Roman"/>
        </w:rPr>
        <w:t xml:space="preserve"> 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1.3) Reperimento della documentazione; richieste di chiarimento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Il bando, il disciplinare di gara, la modulistica e il progetto del servizio sono pubblicati nel profilo di committente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nella sezione «</w:t>
      </w:r>
      <w:r>
        <w:rPr>
          <w:rFonts w:ascii="Candara" w:hAnsi="Candara" w:cs="Times New Roman"/>
        </w:rPr>
        <w:t>Bandi di gara</w:t>
      </w:r>
      <w:r w:rsidRPr="00DA7113">
        <w:rPr>
          <w:rFonts w:ascii="Candara" w:hAnsi="Candara" w:cs="Times New Roman"/>
        </w:rPr>
        <w:t>».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Eventuali chiarimenti vanno richiesti per iscritto — anche per posta elettronica, semplice o certificata —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entro il termine indicato nel bando; non saranno soddisfatti i quesiti giunti dopo il termine indicato nel punto</w:t>
      </w:r>
      <w:r>
        <w:rPr>
          <w:rFonts w:ascii="Candara" w:hAnsi="Candara" w:cs="Times New Roman"/>
        </w:rPr>
        <w:t xml:space="preserve"> </w:t>
      </w:r>
      <w:r w:rsidRPr="00134334">
        <w:rPr>
          <w:rFonts w:ascii="Candara" w:hAnsi="Candara" w:cs="Times New Roman"/>
        </w:rPr>
        <w:t xml:space="preserve">VI.3), lettera </w:t>
      </w:r>
      <w:r w:rsidRPr="00134334">
        <w:rPr>
          <w:rFonts w:ascii="Candara" w:hAnsi="Candara" w:cs="Times New Roman"/>
          <w:i/>
          <w:iCs/>
        </w:rPr>
        <w:t xml:space="preserve">D) </w:t>
      </w:r>
      <w:r w:rsidRPr="00134334">
        <w:rPr>
          <w:rFonts w:ascii="Candara" w:hAnsi="Candara" w:cs="Times New Roman"/>
        </w:rPr>
        <w:t>del bando.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Le richieste vanno formulate esclusivamente in lingua italiana. Le risposte ai quesiti ed eventuali ulteriori informazioni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sulla procedura saranno pubblicate, in forma anonima, esclusivamente sul profilo di committente,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che si raccomanda perciò di consultare costantemente.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2) Partecipazione (requisiti e divieti); avvalimento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2.1) Consorzi e cooperative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consorzi fra società cooperative di produzione e lavoro, quelli fra imprese artigiane e i consorzi stabili devono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indicare per quali consorziati concorrono.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consorzi che intendono svolgere il servizio in proprio devono dichiararlo; la mancata indicazione dell’impresa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consorziata s’intende come manifestazione della volontà d’eseguire in proprio.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In caso d’aggiudicazione a un consorzio, le imprese che svolgeranno i servizi non potranno essere diverse da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quelle indicate in offerta, salvo il caso di oggettiva impossibilità — valutata dall’Amministrazione aggiudicatrice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— e purché le subentranti non abbiano partecipato autonomamente alla gara e siano in possesso dei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requisiti di carattere generale.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lastRenderedPageBreak/>
        <w:t>I consorzi stabili possono partecipare alla gara secondo l’articolo 36 c.c.p.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Le società cooperative, i consorzi di cooperative e le cooperative sociali devono essere iscritti all’Albo Nazionale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delle Società Cooperative; le cooperative sociali devono essere iscritte anche al competente Albo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Regionale.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2.2) Raggruppamenti temporanei di concor</w:t>
      </w:r>
      <w:r>
        <w:rPr>
          <w:rFonts w:ascii="Candara" w:hAnsi="Candara" w:cs="Times New Roman"/>
          <w:b/>
          <w:bCs/>
          <w:i/>
          <w:iCs/>
        </w:rPr>
        <w:t>r</w:t>
      </w:r>
      <w:r w:rsidRPr="00DA7113">
        <w:rPr>
          <w:rFonts w:ascii="Candara" w:hAnsi="Candara" w:cs="Times New Roman"/>
          <w:b/>
          <w:bCs/>
          <w:i/>
          <w:iCs/>
        </w:rPr>
        <w:t>enti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Ai raggruppamenti temporanei di concorrenti si applicano gli articoli 37 e 118 c.c.p. e gli articoli 61 e 92 del</w:t>
      </w:r>
      <w:r>
        <w:rPr>
          <w:rFonts w:ascii="Candara" w:hAnsi="Candara" w:cs="Times New Roman"/>
        </w:rPr>
        <w:t xml:space="preserve"> </w:t>
      </w:r>
      <w:proofErr w:type="spellStart"/>
      <w:r w:rsidRPr="00DA7113">
        <w:rPr>
          <w:rFonts w:ascii="Candara" w:hAnsi="Candara" w:cs="Times New Roman"/>
        </w:rPr>
        <w:t>d.P.R.</w:t>
      </w:r>
      <w:proofErr w:type="spellEnd"/>
      <w:r w:rsidRPr="00DA7113">
        <w:rPr>
          <w:rFonts w:ascii="Candara" w:hAnsi="Candara" w:cs="Times New Roman"/>
        </w:rPr>
        <w:t xml:space="preserve"> 207/2010.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Pei raggruppamenti temporanei di tipo orizzontale i requisiti richiesti per il concorrente singolo devono essere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posseduti dalla mandataria o da un’impresa consorziata nella misura minima del 40% dell’importo totale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dell’appalto; la restante percentuale è posseduta cumulativamente dalle mandanti o dalle altre imprese consorziate,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ciascuna nella misura minima del 10 % dell’importo suddetto.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mandataria, in ogni caso, assume i requisiti in misura percentuale superiore rispetto a ciascuna delle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mandanti.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2.3) Concorrenti con sede in altri Stati dell’Unione Europea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concorrenti con sede in uno Stato dell’Unione Europea diverso dall’Italia provano il possesso dei requisiti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con documentazione prodotta secondo le normative vigenti nei rispettivi paesi.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2.4) Avvalimento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Il concorrente (“impresa principale”) può soddisfare i requisiti speciali avvalendosi di quelli posseduti da altro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soggetto (“impresa ausiliaria”).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A tal fine l’impresa principale deve inserire nella busta «A», oltre alla documentazione dei requisiti suoi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propri, i documenti indicati nei punti da 2.4.1) a 2.4.4), sottoscritti dai legali rappresentanti delle varie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imprese (con firma non autenticata) e accompagnati da fotocopia di un documento d’identità valido di chi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firma; se sottoscrive un procuratore generale o speciale va allegata — anche in copia semplice — la relativa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procura, ricevuta o autenticata da un notaio.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2.4.1) Dichiarazione d’avvalimento dell’impresa principale</w:t>
      </w: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redatta compilando il modulo “Avv1” allegato al disciplinare.</w:t>
      </w:r>
      <w:r>
        <w:rPr>
          <w:rFonts w:ascii="Candara" w:hAnsi="Candara" w:cs="Times New Roman"/>
        </w:rPr>
        <w:t xml:space="preserve"> 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2.4.2) Dichiarazione sostitutiva unica dell’impresa ausiliaria</w:t>
      </w: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redatta facendo utilizzare e compilare anche all’impresa ausiliaria il modulo “A2” allegato al disciplinare.</w:t>
      </w:r>
      <w:r>
        <w:rPr>
          <w:rFonts w:ascii="Candara" w:hAnsi="Candara" w:cs="Times New Roman"/>
        </w:rPr>
        <w:t xml:space="preserve"> 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2.4.3) Dichiarazione d’obbligazione dell’impresa ausiliaria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Va redatta compilando il modulo “Avv2” allegato al disciplinare. Con essa l’impresa ausiliaria si obbliga </w:t>
      </w:r>
      <w:r>
        <w:rPr>
          <w:rFonts w:ascii="Candara" w:hAnsi="Candara" w:cs="Times New Roman"/>
        </w:rPr>
        <w:t xml:space="preserve">- </w:t>
      </w:r>
      <w:r w:rsidRPr="00DA7113">
        <w:rPr>
          <w:rFonts w:ascii="Candara" w:hAnsi="Candara" w:cs="Times New Roman"/>
        </w:rPr>
        <w:t>verso la principale e l’Amministrazione aggiudicatrice — a mettere a disposizione, per tutta la durata dell’appalto,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le qualificazioni di cui è carente la principale e attesta altresì di non partecipare alla gara in proprio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né di trovarsi in una situazione di controllo indicata all’articolo 34, comma 2 c.c.p. con una delle imprese che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partecipano alla gara.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2.4.4) Contratto d’avvalimento fra imprese principale e ausiliaria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prodotto in originale o copia autenticata da un notaio ed è il contratto col quale l’impresa ausiliaria s’obbliga,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nei confronti della principale, a fornirle i requisiti e a metterle a disposizione le risorse necessarie per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tutta la durata dell’appalto.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Il contratto deve indicare in modo compiuto, esplicito ed esauriente l’oggetto, le risorse, i mezzi prestati, la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durata e deve prevedere la responsabilità solidale di principale e ausiliaria verso l’Amministrazione aggiudicatrice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per le prestazioni oggetto dell’appalto.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Se principale e ausiliaria appartengano allo stesso gruppo societario, invece del contratto la principale può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presentare una dichiarazione sostitutiva attestante il legame giuridico ed economico, esistente nel gruppo, in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virtù del quale sussistono gli stessi obblighi previsti dal comma 5 dell’articolo 49 c.c.p.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2.4.5) Limiti in materia d’avvalimento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Non è consentito che della stessa impresa ausiliaria si avvalga più di un concorrente né che partecipino autonomamente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sia l’impresa principale sia l’ausiliaria.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2.5) Divieti di partecipazione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È vietata la partecipazione:</w:t>
      </w:r>
    </w:p>
    <w:p w:rsidR="00DA7113" w:rsidRPr="00DA7113" w:rsidRDefault="00DA7113" w:rsidP="00DA71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di un concorrente in più d’un raggruppamento temporaneo di concorrenti, consorzio ordinario o consorzio stabile;</w:t>
      </w:r>
    </w:p>
    <w:p w:rsidR="00DA7113" w:rsidRPr="00DA7113" w:rsidRDefault="00DA7113" w:rsidP="00DA71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di un concorrente sia in forma individuale sia in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o consorzio ordinario;</w:t>
      </w:r>
    </w:p>
    <w:p w:rsidR="00DA7113" w:rsidRPr="00DA7113" w:rsidRDefault="00DA7113" w:rsidP="00DA71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lastRenderedPageBreak/>
        <w:t>di un concorrente indicato come esecutore del servizio da un consorzio — stabile, artigiano o di cooperative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di produzione e lavoro — e del consorzio medesimo;</w:t>
      </w:r>
    </w:p>
    <w:p w:rsidR="00DA7113" w:rsidRPr="00DA7113" w:rsidRDefault="00DA7113" w:rsidP="00DA71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di concorrenti che si trovino fra di loro in una situazione indicata nell’articolo 2359 c.c. o in qualsiasi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altra relazione se quest’ultima ha comportato la riconducibilità delle offerte a un unico centro decisionale.</w:t>
      </w: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3) Redazione e presentazione delle offerte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3.1) Luogo e termine di presentazione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Le offerte devono pervenire — a rischio, cura e spese dei concorrenti — entro la data e l’ora e nel luogo indicati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nel punto IV.3.4) del bando; il plico può essere recapitato con qualsiasi mezzo.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Le offerte giunte oltre il termine non sono valide, anche se ne sostituiscono o modificano altre presentate in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tempo utile.</w:t>
      </w:r>
    </w:p>
    <w:p w:rsid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3.2) Confezione dei plichi e delle buste; compilazione, suddivisione e sottoscrizione dei documenti da presentare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documentazione da presentare va suddivisa in due buste, denominate: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«A: documentazione amministrativa»;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«B: documentazione economica».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Le buste vanno chiuse, sigillate su tutte le incollature e inserite in un plico chiuso e sigillato con le stesse modalità,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sul quale vanno indicati la denominazione del concorrente (o dei concorrenti in caso di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.) 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l’oggetto della gara (per “sigillo” s’intendono impronte o contrassegni caratteristici — sia impressi su materiale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plastico, come ceralacca o piombo, sia ottenuti con timbri e firme — che assicurano l’autenticità e l’integrità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della chiusura originaria fatta dal concorrente).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Tutti i documenti vanno redatti in italiano; se sono redatti in un’altra lingua, dev’esserne allegata una traduzione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in italiano certificata conforme dalle autorità diplomatiche o consolari italiane dello Stato in cui è stata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redatta o da un traduttore ufficiale.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Tutti i documenti vanno sottoscritti — con firma non autenticata — da un legale rappresentante e accompagnati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da una fotocopia di un documento d’identità valido di chi firma (se è sempre la stessa persona, è sufficiente</w:t>
      </w:r>
      <w:r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una sola fotocopia). Se sottoscrive un procuratore generale o speciale dev’essere allegata — anche in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copia semplice — la relativa procura ricevuta o autenticata da un notaio.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3.3) Contenuto della busta «A»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Nella busta «A: documentazione amministrativa» dev’essere inserita la seguente documentazione.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3.3.1) Domanda di partecipazione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redatta compilando il modello “A1”.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Per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e consorzi non ancora formalmente costituiti, ogni impresa deve presentare la propria domanda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compilandone i campi specifici.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3.3.2) Dichiarazione sostitutiva unica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resa compilando il modello “A2” e deve contenere tutte le dichiarazioni riportate in esso.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Per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e consorzi non ancora formalmente costituiti, ogni impresa deve redigere la propria dichiarazione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compilandone i campi specifici.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Per i consorzi dell’articolo 34, comma 1, lettere </w:t>
      </w:r>
      <w:r w:rsidRPr="00DA7113">
        <w:rPr>
          <w:rFonts w:ascii="Candara" w:hAnsi="Candara" w:cs="Times New Roman"/>
          <w:i/>
          <w:iCs/>
        </w:rPr>
        <w:t xml:space="preserve">b) </w:t>
      </w:r>
      <w:r w:rsidRPr="00DA7113">
        <w:rPr>
          <w:rFonts w:ascii="Candara" w:hAnsi="Candara" w:cs="Times New Roman"/>
        </w:rPr>
        <w:t xml:space="preserve">e </w:t>
      </w:r>
      <w:r w:rsidRPr="00DA7113">
        <w:rPr>
          <w:rFonts w:ascii="Candara" w:hAnsi="Candara" w:cs="Times New Roman"/>
          <w:i/>
          <w:iCs/>
        </w:rPr>
        <w:t xml:space="preserve">c) </w:t>
      </w:r>
      <w:r w:rsidRPr="00DA7113">
        <w:rPr>
          <w:rFonts w:ascii="Candara" w:hAnsi="Candara" w:cs="Times New Roman"/>
        </w:rPr>
        <w:t>c.c.p. la dichiarazione va presentata anche dall’impresa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designata esecutrice.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3.3.3) Cauzione provvisoria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È pari al 2% dell’importo totale netto posto a base di gara (oneri di sicurezza inclusi) e può essere costituita,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 scelta del concorrente:</w:t>
      </w:r>
    </w:p>
    <w:p w:rsidR="00DA7113" w:rsidRPr="00A041E0" w:rsidRDefault="00DA7113" w:rsidP="00DA71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con versamento in contanti o in titoli del debito pubblico presso</w:t>
      </w:r>
      <w:r w:rsidR="00A041E0" w:rsidRPr="00A041E0">
        <w:rPr>
          <w:rFonts w:ascii="Candara" w:hAnsi="Candara" w:cs="Times New Roman"/>
        </w:rPr>
        <w:t xml:space="preserve"> il tesoriere comunale, </w:t>
      </w:r>
      <w:r w:rsidR="00A041E0" w:rsidRPr="00A041E0">
        <w:rPr>
          <w:rFonts w:cs="Arial"/>
          <w:color w:val="000000"/>
          <w:sz w:val="24"/>
          <w:szCs w:val="24"/>
        </w:rPr>
        <w:t>c</w:t>
      </w:r>
      <w:r w:rsidR="00A041E0" w:rsidRPr="00A041E0">
        <w:rPr>
          <w:rFonts w:ascii="Calibri" w:hAnsi="Calibri" w:cs="Arial"/>
        </w:rPr>
        <w:t>on bonifico bancario sul conto intestato alla Tesoreria del Comune di Boves - IBAN IT 60 J 08397 46030 0000 10106100</w:t>
      </w:r>
      <w:r w:rsidRPr="00A041E0">
        <w:rPr>
          <w:rFonts w:ascii="Candara" w:hAnsi="Candara" w:cs="Times New Roman"/>
        </w:rPr>
        <w:t xml:space="preserve"> (specificare, nella causale, il </w:t>
      </w:r>
      <w:proofErr w:type="spellStart"/>
      <w:r w:rsidRPr="00A041E0">
        <w:rPr>
          <w:rFonts w:ascii="Candara" w:hAnsi="Candara" w:cs="Times New Roman"/>
        </w:rPr>
        <w:t>c.i.g.</w:t>
      </w:r>
      <w:proofErr w:type="spellEnd"/>
      <w:r w:rsidRPr="00A041E0">
        <w:rPr>
          <w:rFonts w:ascii="Candara" w:hAnsi="Candara" w:cs="Times New Roman"/>
        </w:rPr>
        <w:t xml:space="preserve"> e la gara cui la cauzione si riferisce);</w:t>
      </w:r>
    </w:p>
    <w:p w:rsidR="00DA7113" w:rsidRPr="00A041E0" w:rsidRDefault="00DA7113" w:rsidP="00DA71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con fideiussione bancaria, polizza assicurativa o polizza emessa da un intermediario finanziario iscritto</w:t>
      </w:r>
      <w:r w:rsidR="00A041E0" w:rsidRP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nell’elenco speciale dell’articolo 107 del d.lgs. 385/1993, valida almeno 180 giorni dalla data di scadenza</w:t>
      </w:r>
      <w:r w:rsid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del termine di presentazione delle offerte.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lastRenderedPageBreak/>
        <w:t>La quietanza del versamento, la fideiussione bancaria e la polizza devono essere prodotte in originale.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Le polizze e le fideiussioni devono contenere espressamente:</w:t>
      </w:r>
    </w:p>
    <w:p w:rsidR="00DA7113" w:rsidRPr="00A041E0" w:rsidRDefault="00DA7113" w:rsidP="00A041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la rinuncia al beneficio della preventiva escussione del debitore principale (articolo 1944, comma 2 c.c.);</w:t>
      </w:r>
    </w:p>
    <w:p w:rsidR="00DA7113" w:rsidRPr="00A041E0" w:rsidRDefault="00DA7113" w:rsidP="00DA71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la rinuncia all’eccezione di limitazione della garanzia allo stesso termine dell’obbligazione principale</w:t>
      </w:r>
      <w:r w:rsid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(articolo 1957, comma 2 c.c.);</w:t>
      </w:r>
    </w:p>
    <w:p w:rsidR="00DA7113" w:rsidRPr="00A041E0" w:rsidRDefault="00DA7113" w:rsidP="00A041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la previsione di operatività entro quindici giorni a semplice richiesta scritta dell’Amministrazione aggiudicatrice.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cauzione provvisoria dev’essere accompagnata dall’impegno di un fideiussore a rilasciare la cauzione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definitiva in caso d’aggiudicazione.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Le polizze e le fideiussioni, ferma restando l’obbligatorietà del contenuto testé descritto, devono altresì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essere conformi allo schema di polizza-tipo 1.1 del </w:t>
      </w:r>
      <w:proofErr w:type="spellStart"/>
      <w:r w:rsidRPr="00DA7113">
        <w:rPr>
          <w:rFonts w:ascii="Candara" w:hAnsi="Candara" w:cs="Times New Roman"/>
        </w:rPr>
        <w:t>d.m.</w:t>
      </w:r>
      <w:proofErr w:type="spellEnd"/>
      <w:r w:rsidRPr="00DA7113">
        <w:rPr>
          <w:rFonts w:ascii="Candara" w:hAnsi="Candara" w:cs="Times New Roman"/>
        </w:rPr>
        <w:t xml:space="preserve"> Lavori pubblici 123/2004.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cauzione provvisoria è restituita ai non aggiudicatari dopo l’aggiudicazione definitiva e all’aggiudicatario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al momento di stipulare il contratto.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Per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e consorzi ordinari — sia da costituire, sia già costituiti — la cauzione dev’essere intestata a tutte le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imprese.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concorrenti con certificazione di qualità secondo le norme europee della serie UNI CEI ISO 9000 —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rilasciata da soggetti accreditati secondo le norme europee della serie UNI CEI EN 45000 e della serie UNI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CEI EN ISO/IEC 17000 — possono costituire la cauzione provvisoria nella misura dell’1%; in questo caso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va prodotta, in copia dichiarata conforme, la certificazione di qualità.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Nei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e nei consorzi ordinari di tipo orizzontale la cauzione va costituita per intero quando anche uno solo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dei raggruppati o consorziati non possiede la certificazione.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cauzione provvisoria è un elemento essenziale dell’offerta.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3.3.4) Atto costitutivo del raggruppamento temporaneo di imprese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L’atto — redatto almeno per scrittura privata autenticata — dev’essere prodotto, in originale o copia autentica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notarile, se il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è già stato costituito. In questo caso, la mandataria capogruppo può sottoscrivere anche i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documenti (domanda di partecipazione, dichiarazione unica ecc.) delle altre imprese raggruppate.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3.3.5) Atto costitutivo del consorzio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I consorzi ordinari già costituiti e quelli dell’articolo 34, comma 1, lettere </w:t>
      </w:r>
      <w:r w:rsidRPr="00DA7113">
        <w:rPr>
          <w:rFonts w:ascii="Candara" w:hAnsi="Candara" w:cs="Times New Roman"/>
          <w:i/>
          <w:iCs/>
        </w:rPr>
        <w:t xml:space="preserve">b) </w:t>
      </w:r>
      <w:r w:rsidRPr="00DA7113">
        <w:rPr>
          <w:rFonts w:ascii="Candara" w:hAnsi="Candara" w:cs="Times New Roman"/>
        </w:rPr>
        <w:t xml:space="preserve">e </w:t>
      </w:r>
      <w:r w:rsidRPr="00DA7113">
        <w:rPr>
          <w:rFonts w:ascii="Candara" w:hAnsi="Candara" w:cs="Times New Roman"/>
          <w:i/>
          <w:iCs/>
        </w:rPr>
        <w:t xml:space="preserve">c) </w:t>
      </w:r>
      <w:r w:rsidRPr="00DA7113">
        <w:rPr>
          <w:rFonts w:ascii="Candara" w:hAnsi="Candara" w:cs="Times New Roman"/>
        </w:rPr>
        <w:t>c.c.p. devono produrre l’atto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costitutivo e le sue successive modificazioni, in originale o copia dichiarata conforme.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3.3.6) Dichiarazione sui requisiti speciali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dichiarazione va redatta riportando:</w:t>
      </w:r>
    </w:p>
    <w:p w:rsidR="00DA7113" w:rsidRPr="00A041E0" w:rsidRDefault="00DA7113" w:rsidP="00A041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il fatturato globale netto conseguito nel triennio di riferimento indicato nel bando;</w:t>
      </w:r>
    </w:p>
    <w:p w:rsidR="00DA7113" w:rsidRPr="00A041E0" w:rsidRDefault="00DA7113" w:rsidP="00A041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l’elenco dei servizi analoghi prestati specificando — per ciascuno — la tipologia esatta, l’ammontare del</w:t>
      </w:r>
      <w:r w:rsid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corrispettivo netto, la durata, le generalità del committente.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In caso di </w:t>
      </w:r>
      <w:proofErr w:type="spellStart"/>
      <w:r w:rsidRPr="00DA7113">
        <w:rPr>
          <w:rFonts w:ascii="Candara" w:hAnsi="Candara" w:cs="Times New Roman"/>
        </w:rPr>
        <w:t>r.t.i</w:t>
      </w:r>
      <w:proofErr w:type="spellEnd"/>
      <w:r w:rsidRPr="00DA7113">
        <w:rPr>
          <w:rFonts w:ascii="Candara" w:hAnsi="Candara" w:cs="Times New Roman"/>
        </w:rPr>
        <w:t>. — sia da costituire, sia già costituito — ogni componente il raggruppamento deve presentare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il proprio elenco.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t>3.3.</w:t>
      </w:r>
      <w:r w:rsidR="00D81785">
        <w:rPr>
          <w:rFonts w:ascii="Candara" w:hAnsi="Candara" w:cs="Times New Roman"/>
          <w:i/>
          <w:iCs/>
        </w:rPr>
        <w:t>7</w:t>
      </w:r>
      <w:r w:rsidRPr="00DA7113">
        <w:rPr>
          <w:rFonts w:ascii="Candara" w:hAnsi="Candara" w:cs="Times New Roman"/>
          <w:i/>
          <w:iCs/>
        </w:rPr>
        <w:t>) Modulo (codice) “</w:t>
      </w:r>
      <w:proofErr w:type="spellStart"/>
      <w:r w:rsidRPr="00DA7113">
        <w:rPr>
          <w:rFonts w:ascii="Candara" w:hAnsi="Candara" w:cs="Times New Roman"/>
          <w:i/>
          <w:iCs/>
        </w:rPr>
        <w:t>PassOE</w:t>
      </w:r>
      <w:proofErr w:type="spellEnd"/>
      <w:r w:rsidRPr="00DA7113">
        <w:rPr>
          <w:rFonts w:ascii="Candara" w:hAnsi="Candara" w:cs="Times New Roman"/>
          <w:i/>
          <w:iCs/>
        </w:rPr>
        <w:t>”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Si ottiene abilitandosi, nella sezione «Servizi ad accesso riservato» del sito www.avcp.it, all’apposita funzionalità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per operatori economici, seguendo le istruzioni contenute nel sito medesimo.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In ogni caso l’Amministrazione aggiudicatrice, data la limitata affidabilità del sistema </w:t>
      </w:r>
      <w:proofErr w:type="spellStart"/>
      <w:r w:rsidRPr="00DA7113">
        <w:rPr>
          <w:rFonts w:ascii="Candara" w:hAnsi="Candara" w:cs="Times New Roman"/>
          <w:i/>
          <w:iCs/>
        </w:rPr>
        <w:t>AVCPass</w:t>
      </w:r>
      <w:proofErr w:type="spellEnd"/>
      <w:r w:rsidRPr="00DA7113">
        <w:rPr>
          <w:rFonts w:ascii="Candara" w:hAnsi="Candara" w:cs="Times New Roman"/>
        </w:rPr>
        <w:t>, si riserva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la facoltà di controllare i requisiti di partecipazione anche tramite i canali tradizionali e previgenti.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3.4) Contenuto della busta «B»</w:t>
      </w:r>
    </w:p>
    <w:p w:rsidR="00D81785" w:rsidRDefault="00D81785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Nella busta «B: documentazione economica» dev’essere inserita la seguente documentazione.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DA7113">
        <w:rPr>
          <w:rFonts w:ascii="Candara" w:hAnsi="Candara" w:cs="Times New Roman"/>
          <w:i/>
          <w:iCs/>
        </w:rPr>
        <w:lastRenderedPageBreak/>
        <w:t>3.4.1) Offerta economica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Va redatta compilando il modello “B” e deve contenere tutte le dichiarazioni riportate in esso.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Per raggruppamenti temporanei di concorrenti o consorzi non ancora formalmente costituiti, il modulo dev’essere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sottoscritto da tutti i soggetti interessati.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 caso di discordanza tra importi in cifre e in lettere valgono quelli indicati in lettere. Eventuali correzioni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al modulo già compilato devono essere sottoscritte singolarmente a margine.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dichiarazione dei costi interni aziendali della sicurezza — obbligatoria per legge — è rimessa alla libertà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d’organizzazione dell’impresa, co</w:t>
      </w:r>
      <w:r w:rsidR="00134334">
        <w:rPr>
          <w:rFonts w:ascii="Candara" w:hAnsi="Candara" w:cs="Times New Roman"/>
        </w:rPr>
        <w:t xml:space="preserve">n </w:t>
      </w:r>
      <w:r w:rsidRPr="00DA7113">
        <w:rPr>
          <w:rFonts w:ascii="Candara" w:hAnsi="Candara" w:cs="Times New Roman"/>
        </w:rPr>
        <w:t>l’unico vincolo della verisimiglianza e plausibilità.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4) Svolgimento della procedura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4.1) Operazioni di gara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Prima seduta pubblica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 luogo, giorno e ora indicati al punto IV.3.8) del bando, l’autorità che presiede la gara:</w:t>
      </w:r>
    </w:p>
    <w:p w:rsidR="00DA7113" w:rsidRPr="00A041E0" w:rsidRDefault="00DA7113" w:rsidP="00A041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apre i plichi pervenuti entro il termine di presentazione;</w:t>
      </w:r>
    </w:p>
    <w:p w:rsidR="00DA7113" w:rsidRPr="00A041E0" w:rsidRDefault="00DA7113" w:rsidP="00A041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apre le buste «A» e ammette/esclude i concorrenti secondo la documentazione presentata.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sanzione prevista dall’articolo 38, comma 2-bis del c.c.p. è fissata all’1‰; le cause d’esclusione diverse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da quelle dell’articolo 46, comma 1-bis del codice operano, in ogni modo, dopo lo svolgimento della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procedura prevista dall’articolo 38, comma 2-bis del medesimo.</w:t>
      </w:r>
    </w:p>
    <w:p w:rsidR="00DA7113" w:rsidRPr="00DA7113" w:rsidRDefault="00134334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La Commissione, </w:t>
      </w:r>
      <w:r w:rsidR="00DA7113" w:rsidRPr="00DA7113">
        <w:rPr>
          <w:rFonts w:ascii="Candara" w:hAnsi="Candara" w:cs="Times New Roman"/>
        </w:rPr>
        <w:t>tra tutti i concorrenti ammessi</w:t>
      </w:r>
      <w:r>
        <w:rPr>
          <w:rFonts w:ascii="Candara" w:hAnsi="Candara" w:cs="Times New Roman"/>
        </w:rPr>
        <w:t>,</w:t>
      </w:r>
      <w:r w:rsidR="00DA7113" w:rsidRPr="00DA7113">
        <w:rPr>
          <w:rFonts w:ascii="Candara" w:hAnsi="Candara" w:cs="Times New Roman"/>
        </w:rPr>
        <w:t xml:space="preserve"> sorteggia il numero previsto dall’articolo 48 c.c.p. (10% delle offerte presentate</w:t>
      </w:r>
      <w:r w:rsidR="00A041E0">
        <w:rPr>
          <w:rFonts w:ascii="Candara" w:hAnsi="Candara" w:cs="Times New Roman"/>
        </w:rPr>
        <w:t xml:space="preserve"> </w:t>
      </w:r>
      <w:r w:rsidR="00DA7113" w:rsidRPr="00DA7113">
        <w:rPr>
          <w:rFonts w:ascii="Candara" w:hAnsi="Candara" w:cs="Times New Roman"/>
        </w:rPr>
        <w:t>arrotondato all’unità superiore) per il controllo del possesso dei requisiti di capacità economico</w:t>
      </w:r>
      <w:r>
        <w:rPr>
          <w:rFonts w:ascii="Candara" w:hAnsi="Candara" w:cs="Times New Roman"/>
        </w:rPr>
        <w:t>-</w:t>
      </w:r>
      <w:r w:rsidR="00DA7113" w:rsidRPr="00DA7113">
        <w:rPr>
          <w:rFonts w:ascii="Candara" w:hAnsi="Candara" w:cs="Times New Roman"/>
        </w:rPr>
        <w:t>finanziaria.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Ai sorteggiati sarà assegnato — per produrre la documentazione — un termine perentorio non inferiore 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10 giorni dalla data di ricevimento della richiesta.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documentazione da trasmettere per il controllo è costituita da uno o più documenti quali:</w:t>
      </w:r>
    </w:p>
    <w:p w:rsidR="00DA7113" w:rsidRPr="00A041E0" w:rsidRDefault="00DA7113" w:rsidP="00DA71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per i soggetti obbligati al deposito annuale del bilancio di esercizio (società di capitali e società</w:t>
      </w:r>
      <w:r w:rsidR="00A041E0" w:rsidRP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cooperative), bilanci riclassificati in base alle normative europee recepite nell’ordinamento italiano</w:t>
      </w:r>
      <w:r w:rsid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(articoli 2423 e seguenti c.c.) corredati dalle note integrative e di deposito;</w:t>
      </w:r>
    </w:p>
    <w:p w:rsidR="00A041E0" w:rsidRDefault="00DA7113" w:rsidP="00DA71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dichiarazioni annuali Iva o modelli “Unico” corredati dalle ricevute di presentazione</w:t>
      </w:r>
      <w:r w:rsidR="00A041E0">
        <w:rPr>
          <w:rFonts w:ascii="Candara" w:hAnsi="Candara" w:cs="Times New Roman"/>
        </w:rPr>
        <w:t xml:space="preserve"> </w:t>
      </w:r>
    </w:p>
    <w:p w:rsidR="00A041E0" w:rsidRDefault="00A041E0" w:rsidP="00A041E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 xml:space="preserve">I documenti devono essere redatti nelle forme previste dal </w:t>
      </w:r>
      <w:proofErr w:type="spellStart"/>
      <w:r w:rsidRPr="00A041E0">
        <w:rPr>
          <w:rFonts w:ascii="Candara" w:hAnsi="Candara" w:cs="Times New Roman"/>
        </w:rPr>
        <w:t>d.P.R.</w:t>
      </w:r>
      <w:proofErr w:type="spellEnd"/>
      <w:r w:rsidRPr="00A041E0">
        <w:rPr>
          <w:rFonts w:ascii="Candara" w:hAnsi="Candara" w:cs="Times New Roman"/>
        </w:rPr>
        <w:t xml:space="preserve"> 445/2000 e sottoscritti dal legale rappresentante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del concorrente.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concorrenti possono non trasmettere, in tutto o in parte, i documenti se questi sono già in possesso dell’Amministrazione,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sono ancora in corso di validità e sono già stati verificati positivamente; in tal caso, è sufficiente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comunicare quali documenti sono già stati presentati e in che procedura.</w:t>
      </w:r>
    </w:p>
    <w:p w:rsidR="00A041E0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Se il possesso dei requisiti non risulta confermato, l’Amministrazione esclude il concorrente dalla gara, ne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escute la cauzione provvisoria e segnala il fatto all’A.N.AC. 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Quindi, nella: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Seconda seduta pubblica</w:t>
      </w:r>
    </w:p>
    <w:p w:rsidR="00A041E0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nella data, ora e luogo comunicati sul profilo di committente, l’autorità che presiede la gara:</w:t>
      </w:r>
    </w:p>
    <w:p w:rsidR="00DA7113" w:rsidRPr="00A041E0" w:rsidRDefault="00DA7113" w:rsidP="00A041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comunica l’esito del controllo;</w:t>
      </w:r>
    </w:p>
    <w:p w:rsidR="00DA7113" w:rsidRPr="00A041E0" w:rsidRDefault="00DA7113" w:rsidP="00A041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apre le buste «B» dei concorrenti ammessi;</w:t>
      </w:r>
    </w:p>
    <w:p w:rsidR="00DA7113" w:rsidRPr="00A041E0" w:rsidRDefault="00DA7113" w:rsidP="00DA71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A041E0">
        <w:rPr>
          <w:rFonts w:ascii="Candara" w:hAnsi="Candara" w:cs="Times New Roman"/>
        </w:rPr>
        <w:t>compila la graduatoria finale e, se non vi sono offerte soggette a verificazione obbligatoria dell’anomalia,</w:t>
      </w:r>
      <w:r w:rsidR="00A041E0">
        <w:rPr>
          <w:rFonts w:ascii="Candara" w:hAnsi="Candara" w:cs="Times New Roman"/>
        </w:rPr>
        <w:t xml:space="preserve"> </w:t>
      </w:r>
      <w:r w:rsidRPr="00A041E0">
        <w:rPr>
          <w:rFonts w:ascii="Candara" w:hAnsi="Candara" w:cs="Times New Roman"/>
        </w:rPr>
        <w:t>aggiudica provvisoriamente l’appalto.</w:t>
      </w:r>
    </w:p>
    <w:p w:rsidR="00A041E0" w:rsidRDefault="00A041E0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Se una o più offerte risultano anomale l’autorità presidente stabilisce quali giustificazioni richiedere e aggiorna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la gara ad altra seduta pubblica di comunicazione dell’esito della verifica. Le sedute di controllo dell’anomalia</w:t>
      </w:r>
      <w:r w:rsidR="00A041E0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sono segrete.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In tutte le operazioni di calcolo si tiene conto di tre cifre dopo la virgola; eventuali ulteriori decimali vengono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arrotondati per difetto da 1 a 4 e per eccesso da 5 a 9.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81785" w:rsidRDefault="00D81785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81785" w:rsidRDefault="00D81785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81785" w:rsidRDefault="00D81785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4.2) Operazioni successive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Entro 10 giorni dalla conclusione delle operazioni del punto 4.1) l’Amministrazione verifica il possesso, in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capo ai primi due concorrenti in graduatoria, dei requisiti d’ammissione e l’insussistenza delle cause di esclusione;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la verifica può essere estesa, se ritenuto opportuno, ad altri concorrenti.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Se le dichiarazioni rese in gara non risultano confermate s’applicano le sanzioni dell’esclusione e — se ne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ricorrono i presupposti — dell’escussione della cauzione provvisoria e della segnalazione all’</w:t>
      </w:r>
      <w:proofErr w:type="spellStart"/>
      <w:r w:rsidRPr="00DA7113">
        <w:rPr>
          <w:rFonts w:ascii="Candara" w:hAnsi="Candara" w:cs="Times New Roman"/>
        </w:rPr>
        <w:t>A.N.Ac</w:t>
      </w:r>
      <w:proofErr w:type="spellEnd"/>
      <w:r w:rsidRPr="00DA7113">
        <w:rPr>
          <w:rFonts w:ascii="Candara" w:hAnsi="Candara" w:cs="Times New Roman"/>
        </w:rPr>
        <w:t>.; si redige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poi la graduatoria aggiornata e s’individua il nuovo aggiudicatario.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L’aggiudicazione definitiva è fatta con </w:t>
      </w:r>
      <w:r w:rsidR="007646E8">
        <w:rPr>
          <w:rFonts w:ascii="Candara" w:hAnsi="Candara" w:cs="Times New Roman"/>
        </w:rPr>
        <w:t xml:space="preserve">atto </w:t>
      </w:r>
      <w:r w:rsidRPr="00DA7113">
        <w:rPr>
          <w:rFonts w:ascii="Candara" w:hAnsi="Candara" w:cs="Times New Roman"/>
        </w:rPr>
        <w:t>dete</w:t>
      </w:r>
      <w:r w:rsidR="007646E8">
        <w:rPr>
          <w:rFonts w:ascii="Candara" w:hAnsi="Candara" w:cs="Times New Roman"/>
        </w:rPr>
        <w:t>r</w:t>
      </w:r>
      <w:r w:rsidRPr="00DA7113">
        <w:rPr>
          <w:rFonts w:ascii="Candara" w:hAnsi="Candara" w:cs="Times New Roman"/>
        </w:rPr>
        <w:t>mina</w:t>
      </w:r>
      <w:r w:rsidR="007646E8">
        <w:rPr>
          <w:rFonts w:ascii="Candara" w:hAnsi="Candara" w:cs="Times New Roman"/>
        </w:rPr>
        <w:t xml:space="preserve">zione </w:t>
      </w:r>
      <w:r w:rsidR="00134334">
        <w:rPr>
          <w:rFonts w:ascii="Candara" w:hAnsi="Candara" w:cs="Times New Roman"/>
        </w:rPr>
        <w:t xml:space="preserve"> del Responsabile del Servizio Scolastico.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4.3) Stipulazione del contratto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Svolti gli accertamenti del precedente punto, l’Amministrazione richiede all’aggiudicatario la cauzione definitiva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e gli altri documenti necessari, fissando la data per la stipulazione del contratto.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L’aggiudicatario deve produrre i documenti nel termine assegnatogli (comunque non inferiore a 10 giorni),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comunicando tempestivamente eventuali impedimenti a intervenire alla stipulazione.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mancata produzione dei documenti richiesti o la mancata presentazione — senza giustificazione — alla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stipulazione del contratto comportano, previa diffida fatta per una sola volta, la decadenza dall’aggiudicazione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e l’incameramento della cauzione provvisoria.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Il contratto è stipulato, in forma pubblico-amministrativa come documento informatico nativo, entro 90 giorni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dalla comunicazione di aggiudicazione definitiva. I diritti di rogito, le imposte di bollo e registro e la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rifusione delle spese di pubblicazione del bando sono a carico dell’aggiudicatario.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stipulazione è subordinata all’esito delle verifiche in materia di lotta alla criminalità mafiosa.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 xml:space="preserve">Per quanto non espressamente disciplinato qui si rinvia al </w:t>
      </w:r>
      <w:r w:rsidR="007646E8">
        <w:rPr>
          <w:rFonts w:ascii="Candara" w:hAnsi="Candara" w:cs="Times New Roman"/>
        </w:rPr>
        <w:t>D</w:t>
      </w:r>
      <w:r w:rsidRPr="00DA7113">
        <w:rPr>
          <w:rFonts w:ascii="Candara" w:hAnsi="Candara" w:cs="Times New Roman"/>
        </w:rPr>
        <w:t>.P.R. 207/2010.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DA7113">
        <w:rPr>
          <w:rFonts w:ascii="Candara" w:hAnsi="Candara" w:cs="Times New Roman"/>
          <w:b/>
          <w:bCs/>
        </w:rPr>
        <w:t>5) Altre informazioni, prescrizioni e avvertenze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5.1) Fallimento dell’appaltatore e risoluzione del contratto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In caso di fallimento, liquidazione coatta, concordato preventivo, risoluzione del contratto ai sensi degli articoli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135-136 c.c.p. o di recesso ai sensi dell’articolo 11, comma 3 del </w:t>
      </w:r>
      <w:proofErr w:type="spellStart"/>
      <w:r w:rsidRPr="00DA7113">
        <w:rPr>
          <w:rFonts w:ascii="Candara" w:hAnsi="Candara" w:cs="Times New Roman"/>
        </w:rPr>
        <w:t>d.P.R.</w:t>
      </w:r>
      <w:proofErr w:type="spellEnd"/>
      <w:r w:rsidRPr="00DA7113">
        <w:rPr>
          <w:rFonts w:ascii="Candara" w:hAnsi="Candara" w:cs="Times New Roman"/>
        </w:rPr>
        <w:t xml:space="preserve"> 252/1998 l’Amministrazione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aggiudicatrice può interpellare progressivamente i concorrenti seguenti in graduatoria — fino al quinto classificato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— per stipulare un nuovo contratto alle condizioni economiche offerte dall’originario appaltatore.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5.2) Subappalto</w:t>
      </w:r>
    </w:p>
    <w:p w:rsidR="007646E8" w:rsidRPr="00397310" w:rsidRDefault="007646E8" w:rsidP="007646E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397310">
        <w:rPr>
          <w:rFonts w:ascii="Candara" w:hAnsi="Candara" w:cs="Arial"/>
        </w:rPr>
        <w:t>Data la peculiarità, la specifica e la delicatezza del servizio, nonché l’utenza alla quale è rivolto, le attività oggetto del contratto non potranno essere subappaltate.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5.3) Modalità d’invio delle comunicazioni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La partecipazione alla gara comporta l’accettazione dell’invio con posta ordinaria, telefax e/o posta elettronica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certificata ai recapiti indicati nel modello A2 di tutte le comunicazioni sulla procedura, anche ai fini dell’articolo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79, comma 5-</w:t>
      </w:r>
      <w:r w:rsidRPr="00DA7113">
        <w:rPr>
          <w:rFonts w:ascii="Candara" w:hAnsi="Candara" w:cs="Times New Roman"/>
          <w:i/>
          <w:iCs/>
        </w:rPr>
        <w:t xml:space="preserve">bis </w:t>
      </w:r>
      <w:r w:rsidRPr="00DA7113">
        <w:rPr>
          <w:rFonts w:ascii="Candara" w:hAnsi="Candara" w:cs="Times New Roman"/>
        </w:rPr>
        <w:t>c.c.p.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Nel caso di omessa dichiarazione nel modello, le comunicazioni s’intenderanno validamente effettuate alle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sede legale e ai relativi recapiti.</w:t>
      </w:r>
    </w:p>
    <w:p w:rsidR="00DA7113" w:rsidRPr="00DA7113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>
        <w:rPr>
          <w:rFonts w:ascii="Candara" w:hAnsi="Candara" w:cs="Times New Roman"/>
          <w:b/>
          <w:bCs/>
          <w:i/>
          <w:iCs/>
        </w:rPr>
        <w:t>5.4</w:t>
      </w:r>
      <w:r w:rsidR="00DA7113" w:rsidRPr="00DA7113">
        <w:rPr>
          <w:rFonts w:ascii="Candara" w:hAnsi="Candara" w:cs="Times New Roman"/>
          <w:b/>
          <w:bCs/>
          <w:i/>
          <w:iCs/>
        </w:rPr>
        <w:t>) Tutela della riservatezza dei dati personali</w:t>
      </w: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A7113">
        <w:rPr>
          <w:rFonts w:ascii="Candara" w:hAnsi="Candara" w:cs="Times New Roman"/>
        </w:rPr>
        <w:t>I dati personali di legali rappresentanti, procuratori e incaricati dei concorrenti sono trattati, anche con mezzi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elettronici, limitatamente e pel tempo necessario agli adempimenti relativi alla gara. Titolare del trattamento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 xml:space="preserve">è il Comune di </w:t>
      </w:r>
      <w:r w:rsidR="007646E8">
        <w:rPr>
          <w:rFonts w:ascii="Candara" w:hAnsi="Candara" w:cs="Times New Roman"/>
        </w:rPr>
        <w:t>Boves</w:t>
      </w:r>
      <w:r w:rsidRPr="00DA7113">
        <w:rPr>
          <w:rFonts w:ascii="Candara" w:hAnsi="Candara" w:cs="Times New Roman"/>
        </w:rPr>
        <w:t>.</w:t>
      </w:r>
    </w:p>
    <w:p w:rsidR="007646E8" w:rsidRDefault="007646E8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DA7113" w:rsidRPr="00DA7113" w:rsidRDefault="00DA7113" w:rsidP="00DA71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DA7113">
        <w:rPr>
          <w:rFonts w:ascii="Candara" w:hAnsi="Candara" w:cs="Times New Roman"/>
          <w:b/>
          <w:bCs/>
          <w:i/>
          <w:iCs/>
        </w:rPr>
        <w:t>5.6) Esiti della procedura</w:t>
      </w:r>
    </w:p>
    <w:p w:rsidR="0074571D" w:rsidRPr="00DA7113" w:rsidRDefault="00DA7113" w:rsidP="007646E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DA7113">
        <w:rPr>
          <w:rFonts w:ascii="Candara" w:hAnsi="Candara" w:cs="Times New Roman"/>
        </w:rPr>
        <w:t>Gli esiti della procedura (denominazione dei vincitori, graduatoria delle offerte ecc.) saranno pubblicati sul</w:t>
      </w:r>
      <w:r w:rsidR="007646E8">
        <w:rPr>
          <w:rFonts w:ascii="Candara" w:hAnsi="Candara" w:cs="Times New Roman"/>
        </w:rPr>
        <w:t xml:space="preserve"> </w:t>
      </w:r>
      <w:r w:rsidRPr="00DA7113">
        <w:rPr>
          <w:rFonts w:ascii="Candara" w:hAnsi="Candara" w:cs="Times New Roman"/>
        </w:rPr>
        <w:t>profilo di committente e colle altre forme previste dalla normativa vigente.</w:t>
      </w:r>
    </w:p>
    <w:sectPr w:rsidR="0074571D" w:rsidRPr="00DA7113" w:rsidSect="0074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9BB"/>
      </v:shape>
    </w:pict>
  </w:numPicBullet>
  <w:abstractNum w:abstractNumId="0">
    <w:nsid w:val="04D764F2"/>
    <w:multiLevelType w:val="hybridMultilevel"/>
    <w:tmpl w:val="5D46B3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255"/>
    <w:multiLevelType w:val="hybridMultilevel"/>
    <w:tmpl w:val="D690E442"/>
    <w:lvl w:ilvl="0" w:tplc="2766DA8C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6104"/>
    <w:multiLevelType w:val="hybridMultilevel"/>
    <w:tmpl w:val="18B2B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58E"/>
    <w:multiLevelType w:val="hybridMultilevel"/>
    <w:tmpl w:val="DD9A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6588"/>
    <w:multiLevelType w:val="hybridMultilevel"/>
    <w:tmpl w:val="14AEB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D39DE"/>
    <w:multiLevelType w:val="hybridMultilevel"/>
    <w:tmpl w:val="DA9A0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187A"/>
    <w:multiLevelType w:val="hybridMultilevel"/>
    <w:tmpl w:val="510CAF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7113"/>
    <w:rsid w:val="00051B66"/>
    <w:rsid w:val="00134334"/>
    <w:rsid w:val="0074571D"/>
    <w:rsid w:val="007646E8"/>
    <w:rsid w:val="00900F81"/>
    <w:rsid w:val="00A041E0"/>
    <w:rsid w:val="00D81785"/>
    <w:rsid w:val="00DA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71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boves@comune.boves.c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.boves.cn@cert.legali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cp:lastPrinted>2015-08-03T08:54:00Z</cp:lastPrinted>
  <dcterms:created xsi:type="dcterms:W3CDTF">2015-08-07T08:21:00Z</dcterms:created>
  <dcterms:modified xsi:type="dcterms:W3CDTF">2015-08-07T08:21:00Z</dcterms:modified>
</cp:coreProperties>
</file>