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9" w:rsidRPr="00F55AF9" w:rsidRDefault="004F4765" w:rsidP="00C14ED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5.95pt;margin-top:-48.35pt;width:132.1pt;height:78pt;z-index:251660288;mso-width-relative:margin;mso-height-relative:margin">
            <v:textbox>
              <w:txbxContent>
                <w:p w:rsidR="00595A65" w:rsidRDefault="00595A65" w:rsidP="00595A65">
                  <w:pPr>
                    <w:spacing w:after="0"/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  <w:r>
        <w:rPr>
          <w:rFonts w:ascii="Calibri" w:hAnsi="Calibri" w:cs="ArialNarrow"/>
          <w:noProof/>
          <w:sz w:val="24"/>
          <w:szCs w:val="24"/>
          <w:lang w:eastAsia="it-IT"/>
        </w:rPr>
        <w:pict>
          <v:shape id="Casella di testo 2" o:spid="_x0000_s1027" type="#_x0000_t202" style="position:absolute;margin-left:392.55pt;margin-top:-38.6pt;width:10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" strokecolor="#974706 [1609]" strokeweight="2.25pt">
            <v:textbox>
              <w:txbxContent>
                <w:p w:rsidR="00C14ED9" w:rsidRPr="00595A65" w:rsidRDefault="00C14ED9" w:rsidP="00C14ED9">
                  <w:pPr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</w:pPr>
                  <w:r w:rsidRPr="00595A65"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  <w:t>Allegato C)</w:t>
                  </w:r>
                </w:p>
                <w:p w:rsidR="00C14ED9" w:rsidRDefault="00C14ED9" w:rsidP="00C14ED9"/>
              </w:txbxContent>
            </v:textbox>
          </v:shape>
        </w:pict>
      </w:r>
      <w:r w:rsidR="00C14ED9">
        <w:rPr>
          <w:rFonts w:ascii="Calibri" w:hAnsi="Calibri" w:cs="ArialNarrow"/>
          <w:sz w:val="24"/>
          <w:szCs w:val="24"/>
        </w:rPr>
        <w:tab/>
      </w:r>
      <w:r w:rsidR="00C14ED9" w:rsidRPr="00F55AF9">
        <w:rPr>
          <w:rFonts w:ascii="Calibri" w:hAnsi="Calibri" w:cs="ArialNarrow"/>
          <w:sz w:val="24"/>
          <w:szCs w:val="24"/>
        </w:rPr>
        <w:t>STAZIONE APPALTANTE:</w:t>
      </w:r>
    </w:p>
    <w:p w:rsidR="00C14ED9" w:rsidRDefault="00C14ED9" w:rsidP="00C14ED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 xml:space="preserve">COMUNE </w:t>
      </w:r>
      <w:proofErr w:type="spellStart"/>
      <w:r>
        <w:rPr>
          <w:rFonts w:ascii="Calibri" w:hAnsi="Calibri" w:cs="ArialNarrow,Bold"/>
          <w:b/>
          <w:bCs/>
          <w:sz w:val="24"/>
          <w:szCs w:val="24"/>
        </w:rPr>
        <w:t>DI</w:t>
      </w:r>
      <w:proofErr w:type="spellEnd"/>
      <w:r>
        <w:rPr>
          <w:rFonts w:ascii="Calibri" w:hAnsi="Calibri" w:cs="ArialNarrow,Bold"/>
          <w:b/>
          <w:bCs/>
          <w:sz w:val="24"/>
          <w:szCs w:val="24"/>
        </w:rPr>
        <w:t xml:space="preserve"> BOVES</w:t>
      </w:r>
    </w:p>
    <w:p w:rsidR="00C14ED9" w:rsidRPr="00F55AF9" w:rsidRDefault="00C14ED9" w:rsidP="00C14ED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</w:r>
      <w:r w:rsidRPr="00F55AF9">
        <w:rPr>
          <w:rFonts w:ascii="Calibri" w:hAnsi="Calibri" w:cs="ArialNarrow,Bold"/>
          <w:bCs/>
          <w:sz w:val="24"/>
          <w:szCs w:val="24"/>
        </w:rPr>
        <w:t>Piazza Italia n. 64</w:t>
      </w:r>
    </w:p>
    <w:p w:rsidR="00C14ED9" w:rsidRDefault="00C14ED9" w:rsidP="00C14ED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>12012 Boves (CN)</w:t>
      </w:r>
    </w:p>
    <w:p w:rsidR="00C14ED9" w:rsidRDefault="00C14ED9" w:rsidP="00C14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</w:p>
    <w:p w:rsidR="00E708C9" w:rsidRDefault="00E708C9" w:rsidP="00C14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</w:p>
    <w:p w:rsidR="00C14ED9" w:rsidRPr="00F55AF9" w:rsidRDefault="00C14ED9" w:rsidP="00C14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>OGGETTO: Offerta per la</w:t>
      </w: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 gestione del servizio </w:t>
      </w:r>
      <w:r>
        <w:rPr>
          <w:rFonts w:ascii="Calibri" w:hAnsi="Calibri" w:cs="ArialNarrow,Bold"/>
          <w:b/>
          <w:bCs/>
          <w:sz w:val="24"/>
          <w:szCs w:val="24"/>
        </w:rPr>
        <w:t>di tesoreria per il periodo dal 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</w:t>
      </w:r>
      <w:r>
        <w:rPr>
          <w:rFonts w:ascii="Calibri" w:hAnsi="Calibri" w:cs="ArialNarrow,Bold"/>
          <w:b/>
          <w:bCs/>
          <w:sz w:val="24"/>
          <w:szCs w:val="24"/>
        </w:rPr>
        <w:t>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1.201</w:t>
      </w:r>
      <w:r>
        <w:rPr>
          <w:rFonts w:ascii="Calibri" w:hAnsi="Calibri" w:cs="ArialNarrow,Bold"/>
          <w:b/>
          <w:bCs/>
          <w:sz w:val="24"/>
          <w:szCs w:val="24"/>
        </w:rPr>
        <w:t>4</w:t>
      </w: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 al 31.12.201</w:t>
      </w:r>
      <w:r>
        <w:rPr>
          <w:rFonts w:ascii="Calibri" w:hAnsi="Calibri" w:cs="ArialNarrow,Bold"/>
          <w:b/>
          <w:bCs/>
          <w:sz w:val="24"/>
          <w:szCs w:val="24"/>
        </w:rPr>
        <w:t>8.</w:t>
      </w:r>
    </w:p>
    <w:p w:rsidR="00C14ED9" w:rsidRDefault="00C14ED9" w:rsidP="00C14ED9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</w:p>
    <w:p w:rsidR="00C14ED9" w:rsidRPr="00F55AF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Il sottoscritto</w:t>
      </w:r>
      <w:r>
        <w:rPr>
          <w:rFonts w:ascii="Calibri" w:hAnsi="Calibri" w:cs="ArialNarrow"/>
          <w:sz w:val="24"/>
          <w:szCs w:val="24"/>
        </w:rPr>
        <w:t xml:space="preserve"> _____________________________________</w:t>
      </w:r>
      <w:r w:rsidRPr="00F55AF9">
        <w:rPr>
          <w:rFonts w:ascii="Calibri" w:hAnsi="Calibri" w:cs="ArialNarrow"/>
          <w:sz w:val="24"/>
          <w:szCs w:val="24"/>
        </w:rPr>
        <w:t xml:space="preserve">codice fiscale </w:t>
      </w:r>
      <w:r>
        <w:rPr>
          <w:rFonts w:ascii="Calibri" w:hAnsi="Calibri" w:cs="ArialNarrow"/>
          <w:sz w:val="24"/>
          <w:szCs w:val="24"/>
        </w:rPr>
        <w:t>_____________________</w:t>
      </w:r>
    </w:p>
    <w:p w:rsidR="00C14ED9" w:rsidRPr="00F55AF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nato il</w:t>
      </w:r>
      <w:r>
        <w:rPr>
          <w:rFonts w:ascii="Calibri" w:hAnsi="Calibri" w:cs="ArialNarrow"/>
          <w:sz w:val="24"/>
          <w:szCs w:val="24"/>
        </w:rPr>
        <w:t xml:space="preserve"> ______________________ a ________________________________ Prov. (_____)</w:t>
      </w:r>
    </w:p>
    <w:p w:rsidR="00C14ED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in qualità di LEGALE RAPPRESENTANTE / PRO</w:t>
      </w:r>
      <w:r>
        <w:rPr>
          <w:rFonts w:ascii="Calibri" w:hAnsi="Calibri" w:cs="ArialNarrow"/>
          <w:sz w:val="24"/>
          <w:szCs w:val="24"/>
        </w:rPr>
        <w:t xml:space="preserve">CURATORE </w:t>
      </w:r>
      <w:r w:rsidRPr="00F55AF9">
        <w:rPr>
          <w:rFonts w:ascii="Calibri" w:hAnsi="Calibri" w:cs="ArialNarrow"/>
          <w:sz w:val="24"/>
          <w:szCs w:val="24"/>
        </w:rPr>
        <w:t>dell’Istituto Bancario/altro</w:t>
      </w:r>
      <w:r>
        <w:rPr>
          <w:rFonts w:ascii="Calibri" w:hAnsi="Calibri" w:cs="ArialNarrow"/>
          <w:sz w:val="24"/>
          <w:szCs w:val="24"/>
        </w:rPr>
        <w:t xml:space="preserve"> ____________</w:t>
      </w:r>
    </w:p>
    <w:p w:rsidR="00C14ED9" w:rsidRPr="00F55AF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_________________________________________________________(indicare la denominazione)</w:t>
      </w:r>
    </w:p>
    <w:p w:rsidR="00C14ED9" w:rsidRPr="00F55AF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con sede in</w:t>
      </w:r>
      <w:r>
        <w:rPr>
          <w:rFonts w:ascii="Calibri" w:hAnsi="Calibri" w:cs="ArialNarrow"/>
          <w:sz w:val="24"/>
          <w:szCs w:val="24"/>
        </w:rPr>
        <w:t xml:space="preserve">______________________________ Prov. (_____) </w:t>
      </w:r>
      <w:r w:rsidRPr="00F55AF9">
        <w:rPr>
          <w:rFonts w:ascii="Calibri" w:hAnsi="Calibri" w:cs="ArialNarrow"/>
          <w:sz w:val="24"/>
          <w:szCs w:val="24"/>
        </w:rPr>
        <w:t>via</w:t>
      </w:r>
      <w:r>
        <w:rPr>
          <w:rFonts w:ascii="Calibri" w:hAnsi="Calibri" w:cs="ArialNarrow"/>
          <w:sz w:val="24"/>
          <w:szCs w:val="24"/>
        </w:rPr>
        <w:t xml:space="preserve">___________________________ n. _______ CAP __________ </w:t>
      </w:r>
      <w:r w:rsidRPr="00F55AF9">
        <w:rPr>
          <w:rFonts w:ascii="Calibri" w:hAnsi="Calibri" w:cs="ArialNarrow"/>
          <w:sz w:val="24"/>
          <w:szCs w:val="24"/>
        </w:rPr>
        <w:t>Tel. n.</w:t>
      </w:r>
      <w:r>
        <w:rPr>
          <w:rFonts w:ascii="Calibri" w:hAnsi="Calibri" w:cs="ArialNarrow"/>
          <w:sz w:val="24"/>
          <w:szCs w:val="24"/>
        </w:rPr>
        <w:t xml:space="preserve">_________________________ </w:t>
      </w:r>
      <w:r w:rsidRPr="00F55AF9">
        <w:rPr>
          <w:rFonts w:ascii="Calibri" w:hAnsi="Calibri" w:cs="ArialNarrow"/>
          <w:sz w:val="24"/>
          <w:szCs w:val="24"/>
        </w:rPr>
        <w:t>Fax n.</w:t>
      </w:r>
      <w:r>
        <w:rPr>
          <w:rFonts w:ascii="Calibri" w:hAnsi="Calibri" w:cs="ArialNarrow"/>
          <w:sz w:val="24"/>
          <w:szCs w:val="24"/>
        </w:rPr>
        <w:t>_____________________</w:t>
      </w:r>
    </w:p>
    <w:p w:rsidR="00C14ED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partita IVA n.</w:t>
      </w:r>
      <w:r>
        <w:rPr>
          <w:rFonts w:ascii="Calibri" w:hAnsi="Calibri" w:cs="ArialNarrow"/>
          <w:sz w:val="24"/>
          <w:szCs w:val="24"/>
        </w:rPr>
        <w:t xml:space="preserve">________________________ </w:t>
      </w:r>
      <w:r w:rsidRPr="00F55AF9">
        <w:rPr>
          <w:rFonts w:ascii="Calibri" w:hAnsi="Calibri" w:cs="ArialNarrow"/>
          <w:sz w:val="24"/>
          <w:szCs w:val="24"/>
        </w:rPr>
        <w:t>e-mail:</w:t>
      </w:r>
      <w:r>
        <w:rPr>
          <w:rFonts w:ascii="Calibri" w:hAnsi="Calibri" w:cs="ArialNarrow"/>
          <w:sz w:val="24"/>
          <w:szCs w:val="24"/>
        </w:rPr>
        <w:t>_______________________________________</w:t>
      </w:r>
      <w:r w:rsidRPr="000C0DED">
        <w:rPr>
          <w:rFonts w:ascii="Calibri" w:hAnsi="Calibri" w:cs="ArialNarrow"/>
          <w:sz w:val="24"/>
          <w:szCs w:val="24"/>
        </w:rPr>
        <w:t xml:space="preserve"> </w:t>
      </w:r>
    </w:p>
    <w:p w:rsidR="00C14ED9" w:rsidRPr="00F55AF9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e-mail</w:t>
      </w:r>
      <w:r>
        <w:rPr>
          <w:rFonts w:ascii="Calibri" w:hAnsi="Calibri" w:cs="ArialNarrow"/>
          <w:sz w:val="24"/>
          <w:szCs w:val="24"/>
        </w:rPr>
        <w:t xml:space="preserve"> certificata</w:t>
      </w:r>
      <w:r w:rsidRPr="00F55AF9">
        <w:rPr>
          <w:rFonts w:ascii="Calibri" w:hAnsi="Calibri" w:cs="ArialNarrow"/>
          <w:sz w:val="24"/>
          <w:szCs w:val="24"/>
        </w:rPr>
        <w:t>:</w:t>
      </w:r>
      <w:r>
        <w:rPr>
          <w:rFonts w:ascii="Calibri" w:hAnsi="Calibri" w:cs="ArialNarrow"/>
          <w:sz w:val="24"/>
          <w:szCs w:val="24"/>
        </w:rPr>
        <w:t xml:space="preserve"> _________________________________________________________________</w:t>
      </w:r>
    </w:p>
    <w:p w:rsidR="00C14ED9" w:rsidRPr="00D9358F" w:rsidRDefault="00C534E8" w:rsidP="00D9358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Narrow"/>
          <w:sz w:val="24"/>
          <w:szCs w:val="24"/>
        </w:rPr>
      </w:pPr>
      <w:r w:rsidRPr="00C14ED9">
        <w:rPr>
          <w:rFonts w:ascii="Calibri" w:hAnsi="Calibri" w:cs="ArialNarrow"/>
          <w:sz w:val="24"/>
          <w:szCs w:val="24"/>
        </w:rPr>
        <w:t>con riferimento alla gara indetta da Codesto Ente per l’affidamento del servizio di Tesoreria Co</w:t>
      </w:r>
      <w:r w:rsidR="00C14ED9">
        <w:rPr>
          <w:rFonts w:ascii="Calibri" w:hAnsi="Calibri" w:cs="ArialNarrow"/>
          <w:sz w:val="24"/>
          <w:szCs w:val="24"/>
        </w:rPr>
        <w:t>munale per il periodo 01/01/2014</w:t>
      </w:r>
      <w:r w:rsidRPr="00C14ED9">
        <w:rPr>
          <w:rFonts w:ascii="Calibri" w:hAnsi="Calibri" w:cs="ArialNarrow"/>
          <w:sz w:val="24"/>
          <w:szCs w:val="24"/>
        </w:rPr>
        <w:t xml:space="preserve"> – 31/12/201</w:t>
      </w:r>
      <w:r w:rsidR="00C14ED9">
        <w:rPr>
          <w:rFonts w:ascii="Calibri" w:hAnsi="Calibri" w:cs="ArialNarrow"/>
          <w:sz w:val="24"/>
          <w:szCs w:val="24"/>
        </w:rPr>
        <w:t>8</w:t>
      </w:r>
      <w:r w:rsidRPr="00C14ED9">
        <w:rPr>
          <w:rFonts w:ascii="Calibri" w:hAnsi="Calibri" w:cs="ArialNarrow"/>
          <w:sz w:val="24"/>
          <w:szCs w:val="24"/>
        </w:rPr>
        <w:t>,</w:t>
      </w:r>
      <w:r w:rsidR="00C14ED9">
        <w:rPr>
          <w:rFonts w:ascii="Calibri" w:hAnsi="Calibri" w:cs="ArialNarrow"/>
          <w:sz w:val="24"/>
          <w:szCs w:val="24"/>
        </w:rPr>
        <w:t xml:space="preserve"> </w:t>
      </w:r>
      <w:r w:rsidRPr="00C14ED9">
        <w:rPr>
          <w:rFonts w:ascii="Calibri" w:hAnsi="Calibri" w:cs="ArialNarrow"/>
          <w:sz w:val="24"/>
          <w:szCs w:val="24"/>
        </w:rPr>
        <w:t>presenta la propria migliore offerta come di seguito indicato:</w:t>
      </w:r>
    </w:p>
    <w:tbl>
      <w:tblPr>
        <w:tblStyle w:val="Grigliatabella"/>
        <w:tblW w:w="9464" w:type="dxa"/>
        <w:tblLook w:val="04A0"/>
      </w:tblPr>
      <w:tblGrid>
        <w:gridCol w:w="6629"/>
        <w:gridCol w:w="2835"/>
      </w:tblGrid>
      <w:tr w:rsidR="00C14ED9" w:rsidTr="00C14ED9">
        <w:tc>
          <w:tcPr>
            <w:tcW w:w="6629" w:type="dxa"/>
          </w:tcPr>
          <w:p w:rsidR="00C14ED9" w:rsidRPr="00C14ED9" w:rsidRDefault="00C14ED9" w:rsidP="00C14ED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Verdana,Bold"/>
                <w:b/>
                <w:bCs/>
                <w:color w:val="000000"/>
                <w:lang w:eastAsia="it-IT"/>
              </w:rPr>
              <w:t>CONDIZIONI</w:t>
            </w:r>
          </w:p>
        </w:tc>
        <w:tc>
          <w:tcPr>
            <w:tcW w:w="2835" w:type="dxa"/>
          </w:tcPr>
          <w:p w:rsidR="00C14ED9" w:rsidRDefault="00C14ED9" w:rsidP="00C14ED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Narrow,Bold"/>
                <w:b/>
                <w:bCs/>
                <w:sz w:val="24"/>
                <w:szCs w:val="24"/>
              </w:rPr>
              <w:t>OFFERTA</w:t>
            </w:r>
          </w:p>
        </w:tc>
      </w:tr>
      <w:tr w:rsidR="00C14ED9" w:rsidRPr="00C14ED9" w:rsidTr="00C14ED9">
        <w:tc>
          <w:tcPr>
            <w:tcW w:w="6629" w:type="dxa"/>
          </w:tcPr>
          <w:p w:rsidR="00C14ED9" w:rsidRPr="00E708C9" w:rsidRDefault="00C14ED9" w:rsidP="009579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</w:pPr>
            <w:r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 xml:space="preserve">Tasso passivo applicato sull’utilizzo dell’anticipazione ordinaria di tesoreria. </w:t>
            </w:r>
            <w:r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[Art. 2</w:t>
            </w:r>
            <w:r w:rsidR="007133F6"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5</w:t>
            </w:r>
            <w:r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 xml:space="preserve"> Convenzione]</w:t>
            </w:r>
          </w:p>
          <w:p w:rsidR="00C14ED9" w:rsidRPr="00E708C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eastAsia="it-IT"/>
              </w:rPr>
            </w:pPr>
            <w:r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 xml:space="preserve">Il tasso passivo, offerto in sede di gara, espresso in termini di scostamento in più o in meno dall’Euribor </w:t>
            </w:r>
            <w:r w:rsidR="00E708C9"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a 6 mesi base 360 giorni media mese precedente, come rilevato su Il Sole 24 ore (relativo al giorno di richiesta dell’anticipazione), senza applicazione di commissioni sul massimo scoperto.</w:t>
            </w:r>
          </w:p>
          <w:p w:rsidR="00C14ED9" w:rsidRPr="00E708C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>Da 0 a 15 punti – Punti 15 alla migliore offerta.</w:t>
            </w:r>
          </w:p>
          <w:p w:rsidR="00C14ED9" w:rsidRPr="00E708C9" w:rsidRDefault="00C14ED9" w:rsidP="00D9358F">
            <w:pPr>
              <w:autoSpaceDE w:val="0"/>
              <w:autoSpaceDN w:val="0"/>
              <w:adjustRightInd w:val="0"/>
              <w:jc w:val="both"/>
              <w:rPr>
                <w:rFonts w:cs="ArialNarrow"/>
                <w:lang w:eastAsia="it-IT"/>
              </w:rPr>
            </w:pPr>
            <w:r w:rsidRPr="00E708C9">
              <w:rPr>
                <w:rFonts w:ascii="Calibri" w:hAnsi="Calibri" w:cs="ArialNarrow"/>
                <w:sz w:val="20"/>
                <w:szCs w:val="20"/>
                <w:lang w:eastAsia="it-IT"/>
              </w:rPr>
              <w:t>Alle altre offerte il punteggio verrà attribuito con l’applicazione della seguente formula: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4"/>
              <w:gridCol w:w="783"/>
            </w:tblGrid>
            <w:tr w:rsidR="00C14ED9" w:rsidRPr="00E708C9" w:rsidTr="00027BBD">
              <w:trPr>
                <w:jc w:val="center"/>
              </w:trPr>
              <w:tc>
                <w:tcPr>
                  <w:tcW w:w="2444" w:type="dxa"/>
                  <w:tcBorders>
                    <w:top w:val="nil"/>
                    <w:left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Narrow"/>
                      <w:lang w:eastAsia="it-IT"/>
                    </w:rPr>
                  </w:pPr>
                  <w:r w:rsidRPr="00E708C9">
                    <w:rPr>
                      <w:rFonts w:cs="ArialNarrow"/>
                      <w:lang w:eastAsia="it-IT"/>
                    </w:rPr>
                    <w:t>OFFERTA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Narrow"/>
                      <w:lang w:eastAsia="it-IT"/>
                    </w:rPr>
                  </w:pPr>
                  <w:r w:rsidRPr="00E708C9">
                    <w:rPr>
                      <w:rFonts w:cs="ArialNarrow"/>
                      <w:lang w:eastAsia="it-IT"/>
                    </w:rPr>
                    <w:t>X 15 =</w:t>
                  </w:r>
                </w:p>
              </w:tc>
            </w:tr>
            <w:tr w:rsidR="00C14ED9" w:rsidRPr="00E708C9" w:rsidTr="00027BBD">
              <w:trPr>
                <w:jc w:val="center"/>
              </w:trPr>
              <w:tc>
                <w:tcPr>
                  <w:tcW w:w="2444" w:type="dxa"/>
                  <w:tcBorders>
                    <w:left w:val="nil"/>
                    <w:bottom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Narrow"/>
                      <w:lang w:eastAsia="it-IT"/>
                    </w:rPr>
                  </w:pPr>
                  <w:r w:rsidRPr="00E708C9">
                    <w:rPr>
                      <w:rFonts w:cs="ArialNarrow"/>
                      <w:lang w:eastAsia="it-IT"/>
                    </w:rPr>
                    <w:t>OFFERTA MIGLIORE</w:t>
                  </w:r>
                </w:p>
              </w:tc>
              <w:tc>
                <w:tcPr>
                  <w:tcW w:w="7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Narrow"/>
                      <w:lang w:eastAsia="it-IT"/>
                    </w:rPr>
                  </w:pPr>
                </w:p>
              </w:tc>
            </w:tr>
          </w:tbl>
          <w:p w:rsidR="00C14ED9" w:rsidRPr="00E708C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ED9" w:rsidRP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</w:p>
        </w:tc>
      </w:tr>
      <w:tr w:rsidR="00C14ED9" w:rsidRPr="00C14ED9" w:rsidTr="00C14ED9">
        <w:tc>
          <w:tcPr>
            <w:tcW w:w="6629" w:type="dxa"/>
          </w:tcPr>
          <w:p w:rsidR="00C14ED9" w:rsidRPr="00E708C9" w:rsidRDefault="00C14ED9" w:rsidP="009579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>Tasso attivo applicato su depositi e conti correnti aperti a qualsiasi titolo presso il Tesoriere, compreso il conto di tesoreria, per tutte le giacenze di cassa non soggette al sistema di tesoreria unica, con liquidazione trimestrale</w:t>
            </w:r>
            <w:r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. [Art. 2</w:t>
            </w:r>
            <w:r w:rsidR="007133F6"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5</w:t>
            </w:r>
            <w:r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Convenzione]</w:t>
            </w:r>
          </w:p>
          <w:p w:rsidR="00C14ED9" w:rsidRPr="00E708C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Century"/>
                <w:color w:val="000000"/>
                <w:sz w:val="20"/>
                <w:szCs w:val="20"/>
                <w:lang w:eastAsia="it-IT"/>
              </w:rPr>
            </w:pPr>
            <w:r w:rsidRPr="00E708C9">
              <w:rPr>
                <w:rFonts w:ascii="Calibri" w:hAnsi="Calibri" w:cs="Century"/>
                <w:color w:val="000000"/>
                <w:sz w:val="20"/>
                <w:szCs w:val="20"/>
                <w:lang w:eastAsia="it-IT"/>
              </w:rPr>
              <w:t xml:space="preserve">Il tasso attivo, offerto in sede di gara, sui depositi e impieghi non soggetti a tesoreria unica, da esprimersi in termini di scostamento (spread) in più o in meno rispetto all’Euribor </w:t>
            </w:r>
            <w:r w:rsidR="00E708C9" w:rsidRPr="00E708C9">
              <w:rPr>
                <w:rFonts w:ascii="Calibri" w:hAnsi="Calibri" w:cs="Century"/>
                <w:color w:val="000000"/>
                <w:sz w:val="20"/>
                <w:szCs w:val="20"/>
                <w:lang w:eastAsia="it-IT"/>
              </w:rPr>
              <w:t xml:space="preserve">a 6 mesi base 360 giorni media mese precedente, come rilevato su Il Sole 24 ore. Il tasso proposto si intende al netto di commissioni e spese comunque denominate ed al lordo delle imposte. </w:t>
            </w:r>
          </w:p>
          <w:p w:rsidR="00C14ED9" w:rsidRPr="00E708C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>Da 0 a 5 punti – Punti 5 alla migliore offerta.</w:t>
            </w:r>
          </w:p>
          <w:p w:rsidR="00C14ED9" w:rsidRPr="00E708C9" w:rsidRDefault="00C14ED9" w:rsidP="00D9358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lang w:eastAsia="it-IT"/>
              </w:rPr>
            </w:pPr>
            <w:r w:rsidRPr="00E708C9">
              <w:rPr>
                <w:rFonts w:ascii="Calibri" w:hAnsi="Calibri" w:cs="ArialNarrow"/>
                <w:sz w:val="20"/>
                <w:szCs w:val="20"/>
                <w:lang w:eastAsia="it-IT"/>
              </w:rPr>
              <w:t>Alle altre offerte il punteggio verrà attribuito con l’applicazione della seguente formula: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4"/>
              <w:gridCol w:w="783"/>
            </w:tblGrid>
            <w:tr w:rsidR="00C14ED9" w:rsidRPr="00E708C9" w:rsidTr="00027BBD">
              <w:trPr>
                <w:jc w:val="center"/>
              </w:trPr>
              <w:tc>
                <w:tcPr>
                  <w:tcW w:w="2444" w:type="dxa"/>
                  <w:tcBorders>
                    <w:top w:val="nil"/>
                    <w:left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"/>
                      <w:lang w:eastAsia="it-IT"/>
                    </w:rPr>
                  </w:pPr>
                  <w:r w:rsidRPr="00E708C9">
                    <w:rPr>
                      <w:rFonts w:ascii="Calibri" w:hAnsi="Calibri" w:cs="ArialNarrow"/>
                      <w:lang w:eastAsia="it-IT"/>
                    </w:rPr>
                    <w:t>OFFERTA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Narrow"/>
                      <w:lang w:eastAsia="it-IT"/>
                    </w:rPr>
                  </w:pPr>
                  <w:r w:rsidRPr="00E708C9">
                    <w:rPr>
                      <w:rFonts w:ascii="Calibri" w:hAnsi="Calibri" w:cs="ArialNarrow"/>
                      <w:lang w:eastAsia="it-IT"/>
                    </w:rPr>
                    <w:t>X 5 =</w:t>
                  </w:r>
                </w:p>
              </w:tc>
            </w:tr>
            <w:tr w:rsidR="00C14ED9" w:rsidRPr="00E708C9" w:rsidTr="00027BBD">
              <w:trPr>
                <w:jc w:val="center"/>
              </w:trPr>
              <w:tc>
                <w:tcPr>
                  <w:tcW w:w="2444" w:type="dxa"/>
                  <w:tcBorders>
                    <w:left w:val="nil"/>
                    <w:bottom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"/>
                      <w:lang w:eastAsia="it-IT"/>
                    </w:rPr>
                  </w:pPr>
                  <w:r w:rsidRPr="00E708C9">
                    <w:rPr>
                      <w:rFonts w:ascii="Calibri" w:hAnsi="Calibri" w:cs="ArialNarrow"/>
                      <w:lang w:eastAsia="it-IT"/>
                    </w:rPr>
                    <w:t>OFFERTA MIGLIORE</w:t>
                  </w:r>
                </w:p>
              </w:tc>
              <w:tc>
                <w:tcPr>
                  <w:tcW w:w="7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14ED9" w:rsidRPr="00E708C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Narrow"/>
                      <w:lang w:eastAsia="it-IT"/>
                    </w:rPr>
                  </w:pPr>
                </w:p>
              </w:tc>
            </w:tr>
          </w:tbl>
          <w:p w:rsidR="00C14ED9" w:rsidRPr="00E708C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ED9" w:rsidRP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</w:p>
        </w:tc>
      </w:tr>
      <w:tr w:rsidR="00C14ED9" w:rsidTr="00C14ED9">
        <w:tc>
          <w:tcPr>
            <w:tcW w:w="6629" w:type="dxa"/>
          </w:tcPr>
          <w:p w:rsidR="00C14ED9" w:rsidRPr="00C14ED9" w:rsidRDefault="00C14ED9" w:rsidP="009579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Entità sponsor</w:t>
            </w:r>
            <w:r w:rsidRPr="007503BC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 xml:space="preserve">izzazioni annue </w:t>
            </w:r>
            <w:r w:rsidR="00E42840"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 xml:space="preserve">[Art. </w:t>
            </w:r>
            <w:r w:rsidR="00E42840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7</w:t>
            </w:r>
            <w:r w:rsidR="00E42840" w:rsidRPr="00E708C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42840" w:rsidRPr="00E708C9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>Convenzione]</w:t>
            </w:r>
            <w:r w:rsidR="00E42840">
              <w:rPr>
                <w:rFonts w:ascii="Calibri" w:hAnsi="Calibri" w:cs="Verdan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503BC" w:rsidRPr="007503BC">
              <w:rPr>
                <w:rFonts w:cs="Tahoma"/>
                <w:color w:val="000000"/>
                <w:sz w:val="20"/>
                <w:szCs w:val="20"/>
              </w:rPr>
              <w:t xml:space="preserve">che il tesoriere si impegna direttamente ad accordare annualmente al comune di Boves </w:t>
            </w:r>
            <w:r w:rsidR="007503BC" w:rsidRPr="007503BC">
              <w:rPr>
                <w:rFonts w:ascii="Calibri" w:hAnsi="Calibri" w:cs="Tahoma"/>
                <w:color w:val="000000"/>
                <w:sz w:val="20"/>
                <w:szCs w:val="20"/>
              </w:rPr>
              <w:t>da destinarsi ad interventi istituzionali di natura assistenziale, ricreativa, sportiva, culturale, artistica e di realizzazione e/o miglioramento delle infrastrutture e del patrimonio comunale</w:t>
            </w:r>
            <w:r w:rsidR="007503BC" w:rsidRPr="007503BC">
              <w:rPr>
                <w:rFonts w:cs="Tahoma"/>
                <w:color w:val="000000"/>
                <w:sz w:val="20"/>
                <w:szCs w:val="20"/>
              </w:rPr>
              <w:t>:</w:t>
            </w:r>
            <w:r w:rsidRPr="007503BC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gli importi dovranno</w:t>
            </w:r>
            <w:r w:rsidRPr="00C14ED9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essere indicati al netto degli oneri fiscali e di legge, se ed in quanto dovuti, che saranno in ogni caso a carico del Tesoriere, così come eventuali tasse o tributi locali connesse alla sponsorizzazione</w:t>
            </w:r>
            <w:r w:rsidRPr="00C14ED9">
              <w:rPr>
                <w:rFonts w:ascii="Calibri" w:hAnsi="Calibri" w:cs="ArialNarrow"/>
                <w:sz w:val="20"/>
                <w:szCs w:val="20"/>
                <w:lang w:eastAsia="it-IT"/>
              </w:rPr>
              <w:t>.</w:t>
            </w:r>
          </w:p>
          <w:p w:rsidR="00C14ED9" w:rsidRPr="00C14ED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>Da 0 a 15 punti – Punti 15 alla migliore offerta.</w:t>
            </w:r>
          </w:p>
          <w:p w:rsidR="00C14ED9" w:rsidRPr="00C14ED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lang w:eastAsia="it-IT"/>
              </w:rPr>
            </w:pPr>
            <w:r w:rsidRPr="00C14ED9">
              <w:rPr>
                <w:rFonts w:ascii="Calibri" w:hAnsi="Calibri" w:cs="ArialNarrow"/>
                <w:sz w:val="20"/>
                <w:szCs w:val="20"/>
                <w:lang w:eastAsia="it-IT"/>
              </w:rPr>
              <w:t>Alle altre offerte il punteggio verrà attribuito con l’applicazione della seguente formula:</w:t>
            </w:r>
          </w:p>
          <w:p w:rsidR="00C14ED9" w:rsidRPr="00C14ED9" w:rsidRDefault="00C14ED9" w:rsidP="00C14ED9">
            <w:pPr>
              <w:autoSpaceDE w:val="0"/>
              <w:autoSpaceDN w:val="0"/>
              <w:adjustRightInd w:val="0"/>
              <w:rPr>
                <w:rFonts w:ascii="Calibri" w:hAnsi="Calibri" w:cs="ArialNarrow"/>
                <w:lang w:eastAsia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4"/>
              <w:gridCol w:w="783"/>
            </w:tblGrid>
            <w:tr w:rsidR="00C14ED9" w:rsidRPr="00C14ED9" w:rsidTr="00027BBD">
              <w:trPr>
                <w:jc w:val="center"/>
              </w:trPr>
              <w:tc>
                <w:tcPr>
                  <w:tcW w:w="2444" w:type="dxa"/>
                  <w:tcBorders>
                    <w:top w:val="nil"/>
                    <w:left w:val="nil"/>
                    <w:right w:val="nil"/>
                  </w:tcBorders>
                </w:tcPr>
                <w:p w:rsidR="00C14ED9" w:rsidRPr="00C14ED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"/>
                      <w:lang w:eastAsia="it-IT"/>
                    </w:rPr>
                  </w:pPr>
                  <w:r w:rsidRPr="00C14ED9">
                    <w:rPr>
                      <w:rFonts w:ascii="Calibri" w:hAnsi="Calibri" w:cs="ArialNarrow"/>
                      <w:lang w:eastAsia="it-IT"/>
                    </w:rPr>
                    <w:t>OFFERTA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14ED9" w:rsidRPr="00C14ED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Narrow"/>
                      <w:lang w:eastAsia="it-IT"/>
                    </w:rPr>
                  </w:pPr>
                  <w:r w:rsidRPr="00C14ED9">
                    <w:rPr>
                      <w:rFonts w:ascii="Calibri" w:hAnsi="Calibri" w:cs="ArialNarrow"/>
                      <w:lang w:eastAsia="it-IT"/>
                    </w:rPr>
                    <w:t>X 15 =</w:t>
                  </w:r>
                </w:p>
              </w:tc>
            </w:tr>
            <w:tr w:rsidR="00C14ED9" w:rsidRPr="00C14ED9" w:rsidTr="00027BBD">
              <w:trPr>
                <w:jc w:val="center"/>
              </w:trPr>
              <w:tc>
                <w:tcPr>
                  <w:tcW w:w="2444" w:type="dxa"/>
                  <w:tcBorders>
                    <w:left w:val="nil"/>
                    <w:bottom w:val="nil"/>
                    <w:right w:val="nil"/>
                  </w:tcBorders>
                </w:tcPr>
                <w:p w:rsidR="00C14ED9" w:rsidRPr="00C14ED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"/>
                      <w:lang w:eastAsia="it-IT"/>
                    </w:rPr>
                  </w:pPr>
                  <w:r w:rsidRPr="00C14ED9">
                    <w:rPr>
                      <w:rFonts w:ascii="Calibri" w:hAnsi="Calibri" w:cs="ArialNarrow"/>
                      <w:lang w:eastAsia="it-IT"/>
                    </w:rPr>
                    <w:t>OFFERTA MIGLIORE</w:t>
                  </w:r>
                </w:p>
              </w:tc>
              <w:tc>
                <w:tcPr>
                  <w:tcW w:w="7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14ED9" w:rsidRPr="00C14ED9" w:rsidRDefault="00C14ED9" w:rsidP="00027B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Narrow"/>
                      <w:lang w:eastAsia="it-IT"/>
                    </w:rPr>
                  </w:pPr>
                </w:p>
              </w:tc>
            </w:tr>
          </w:tbl>
          <w:p w:rsid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4"/>
                <w:szCs w:val="24"/>
              </w:rPr>
            </w:pPr>
          </w:p>
        </w:tc>
      </w:tr>
      <w:tr w:rsidR="00C14ED9" w:rsidTr="00C14ED9">
        <w:tc>
          <w:tcPr>
            <w:tcW w:w="6629" w:type="dxa"/>
          </w:tcPr>
          <w:p w:rsidR="00C14ED9" w:rsidRPr="00C14ED9" w:rsidRDefault="00C14ED9" w:rsidP="009579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Verdana,Bold"/>
                <w:b/>
                <w:bCs/>
                <w:color w:val="000000"/>
                <w:sz w:val="20"/>
                <w:szCs w:val="20"/>
                <w:lang w:eastAsia="it-IT"/>
              </w:rPr>
              <w:t>Importo addebito fisso di spese di bonifico per i beneficiari</w:t>
            </w:r>
          </w:p>
          <w:p w:rsidR="00C14ED9" w:rsidRPr="00C14ED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  <w:t>Punti 10 alla migliore offerta (addebito minore)</w:t>
            </w:r>
          </w:p>
          <w:p w:rsidR="00C14ED9" w:rsidRPr="00C14ED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  <w:t>Punti 1 alla peggiore offerta (addebito maggiore)</w:t>
            </w:r>
          </w:p>
          <w:p w:rsidR="00C14ED9" w:rsidRDefault="00C14ED9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C14ED9">
              <w:rPr>
                <w:rFonts w:ascii="Calibri" w:hAnsi="Calibri" w:cs="ArialNarrow"/>
                <w:sz w:val="20"/>
                <w:szCs w:val="20"/>
                <w:lang w:eastAsia="it-IT"/>
              </w:rPr>
              <w:t xml:space="preserve">Il punteggio verrà attribuito con l’applicazione della seguente formula: </w:t>
            </w:r>
          </w:p>
          <w:p w:rsidR="00E42840" w:rsidRPr="00E42840" w:rsidRDefault="00E42840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E42840">
              <w:rPr>
                <w:rFonts w:ascii="Calibri" w:hAnsi="Calibri" w:cs="ArialNarrow"/>
                <w:sz w:val="20"/>
                <w:szCs w:val="20"/>
                <w:lang w:eastAsia="it-IT"/>
              </w:rPr>
              <w:t>Il punteggio verrà attribuito con l’applic</w:t>
            </w:r>
            <w:r>
              <w:rPr>
                <w:rFonts w:ascii="Calibri" w:hAnsi="Calibri" w:cs="ArialNarrow"/>
                <w:sz w:val="20"/>
                <w:szCs w:val="20"/>
                <w:lang w:eastAsia="it-IT"/>
              </w:rPr>
              <w:t xml:space="preserve">azione della seguente formula: </w:t>
            </w:r>
          </w:p>
          <w:tbl>
            <w:tblPr>
              <w:tblW w:w="2046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66"/>
              <w:gridCol w:w="340"/>
              <w:gridCol w:w="840"/>
            </w:tblGrid>
            <w:tr w:rsidR="00E42840" w:rsidRPr="00E42840" w:rsidTr="006427EC">
              <w:trPr>
                <w:trHeight w:val="360"/>
              </w:trPr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f</w:t>
                  </w:r>
                  <w:proofErr w:type="spellEnd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- </w:t>
                  </w: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  <w:proofErr w:type="spellEnd"/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=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X - </w:t>
                  </w: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  <w:proofErr w:type="spellEnd"/>
                </w:p>
              </w:tc>
            </w:tr>
            <w:tr w:rsidR="00E42840" w:rsidRPr="00E42840" w:rsidTr="006427EC">
              <w:trPr>
                <w:trHeight w:val="36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f</w:t>
                  </w:r>
                  <w:proofErr w:type="spellEnd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- 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</w:p>
              </w:tc>
              <w:tc>
                <w:tcPr>
                  <w:tcW w:w="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-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</w:p>
              </w:tc>
            </w:tr>
          </w:tbl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>
              <w:rPr>
                <w:rFonts w:ascii="Calibri" w:hAnsi="Calibri" w:cs="ArialNarrow"/>
                <w:sz w:val="20"/>
                <w:szCs w:val="20"/>
                <w:lang w:eastAsia="it-IT"/>
              </w:rPr>
              <w:t>Dove: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f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 xml:space="preserve"> 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= punteggio </w:t>
            </w: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10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i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punteggio min = 1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 = punteggio incognito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f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offerta migliore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 xml:space="preserve">i 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= offerta peggiore</w:t>
            </w:r>
          </w:p>
          <w:p w:rsidR="00C14ED9" w:rsidRDefault="00E42840" w:rsidP="00C534E8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 = offerta in esame</w:t>
            </w:r>
          </w:p>
          <w:p w:rsidR="006943E0" w:rsidRPr="006943E0" w:rsidRDefault="006943E0" w:rsidP="006943E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6943E0">
              <w:rPr>
                <w:rFonts w:ascii="Calibri" w:hAnsi="Calibri" w:cs="Arial"/>
                <w:sz w:val="20"/>
                <w:szCs w:val="20"/>
                <w:lang w:eastAsia="it-IT"/>
              </w:rPr>
              <w:t>La commissione eventuale per più pagamenti giornalieri a carico di un medesimo beneficiario sarà unica, tenuto conto comunque delle esclusioni previste dalla convenzione.</w:t>
            </w:r>
          </w:p>
        </w:tc>
        <w:tc>
          <w:tcPr>
            <w:tcW w:w="2835" w:type="dxa"/>
          </w:tcPr>
          <w:p w:rsid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4"/>
                <w:szCs w:val="24"/>
              </w:rPr>
            </w:pPr>
          </w:p>
        </w:tc>
      </w:tr>
      <w:tr w:rsidR="00C14ED9" w:rsidTr="00C14ED9">
        <w:tc>
          <w:tcPr>
            <w:tcW w:w="6629" w:type="dxa"/>
          </w:tcPr>
          <w:p w:rsidR="009579C6" w:rsidRPr="009579C6" w:rsidRDefault="009579C6" w:rsidP="009579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9579C6">
              <w:rPr>
                <w:rFonts w:ascii="Calibri" w:hAnsi="Calibri" w:cs="ArialNarrow"/>
                <w:b/>
                <w:sz w:val="20"/>
                <w:szCs w:val="20"/>
                <w:lang w:eastAsia="it-IT"/>
              </w:rPr>
              <w:t xml:space="preserve">Costo unitario avvisi per servizio di riscossione entrate extra-tributarie (servizio MAV - Incassi Mediante Avviso) </w:t>
            </w:r>
            <w:r w:rsidRPr="009579C6">
              <w:rPr>
                <w:rFonts w:ascii="Calibri" w:hAnsi="Calibri" w:cs="ArialNarrow"/>
                <w:sz w:val="20"/>
                <w:szCs w:val="20"/>
                <w:lang w:eastAsia="it-IT"/>
              </w:rPr>
              <w:t xml:space="preserve">in modo da permettere l’incasso attraverso l’emissione e relativa spedizione di avvisi senza addebito di spese o commissioni a carico degli utenti, compresa la rendicontazione analitica degli incassi (per un numero massimo di </w:t>
            </w:r>
            <w:r w:rsidR="00E42840">
              <w:rPr>
                <w:rFonts w:ascii="Calibri" w:hAnsi="Calibri" w:cs="ArialNarrow"/>
                <w:sz w:val="20"/>
                <w:szCs w:val="20"/>
                <w:lang w:eastAsia="it-IT"/>
              </w:rPr>
              <w:t>4</w:t>
            </w:r>
            <w:r w:rsidRPr="009579C6">
              <w:rPr>
                <w:rFonts w:ascii="Calibri" w:hAnsi="Calibri" w:cs="ArialNarrow"/>
                <w:sz w:val="20"/>
                <w:szCs w:val="20"/>
                <w:lang w:eastAsia="it-IT"/>
              </w:rPr>
              <w:t>.000 avvisi all’anno, da emettere sulla base di appositi elenchi/ruoli forniti dall’Ente).</w:t>
            </w:r>
          </w:p>
          <w:p w:rsidR="009579C6" w:rsidRPr="009579C6" w:rsidRDefault="009579C6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</w:pPr>
            <w:r w:rsidRPr="009579C6"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  <w:t>Punti 5 alla migliore offerta (prezzo più basso)</w:t>
            </w:r>
          </w:p>
          <w:p w:rsidR="009579C6" w:rsidRPr="009579C6" w:rsidRDefault="009579C6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</w:pPr>
            <w:r w:rsidRPr="009579C6">
              <w:rPr>
                <w:rFonts w:ascii="Calibri" w:hAnsi="Calibri" w:cs="ArialNarrow,Bold"/>
                <w:b/>
                <w:bCs/>
                <w:sz w:val="20"/>
                <w:szCs w:val="20"/>
                <w:lang w:eastAsia="it-IT"/>
              </w:rPr>
              <w:t>Punti 1 alla peggiore offerta (prezzo più alto)</w:t>
            </w:r>
          </w:p>
          <w:p w:rsidR="009579C6" w:rsidRPr="00E42840" w:rsidRDefault="009579C6" w:rsidP="009579C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9579C6">
              <w:rPr>
                <w:rFonts w:ascii="Calibri" w:hAnsi="Calibri" w:cs="ArialNarrow"/>
                <w:sz w:val="20"/>
                <w:szCs w:val="20"/>
                <w:lang w:eastAsia="it-IT"/>
              </w:rPr>
              <w:t>Il punteggio verrà attribuito con l’applicazione della seguente formula:</w:t>
            </w:r>
          </w:p>
          <w:p w:rsidR="009579C6" w:rsidRPr="00E42840" w:rsidRDefault="009579C6" w:rsidP="009579C6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</w:p>
          <w:tbl>
            <w:tblPr>
              <w:tblW w:w="2046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66"/>
              <w:gridCol w:w="340"/>
              <w:gridCol w:w="840"/>
            </w:tblGrid>
            <w:tr w:rsidR="00E42840" w:rsidRPr="00E42840" w:rsidTr="006427EC">
              <w:trPr>
                <w:trHeight w:val="360"/>
              </w:trPr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f</w:t>
                  </w:r>
                  <w:proofErr w:type="spellEnd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- </w:t>
                  </w: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  <w:proofErr w:type="spellEnd"/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=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X - </w:t>
                  </w: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  <w:proofErr w:type="spellEnd"/>
                </w:p>
              </w:tc>
            </w:tr>
            <w:tr w:rsidR="00E42840" w:rsidRPr="00E42840" w:rsidTr="006427EC">
              <w:trPr>
                <w:trHeight w:val="36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f</w:t>
                  </w:r>
                  <w:proofErr w:type="spellEnd"/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- 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</w:p>
              </w:tc>
              <w:tc>
                <w:tcPr>
                  <w:tcW w:w="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840" w:rsidRPr="00E42840" w:rsidRDefault="00E42840" w:rsidP="006427EC">
                  <w:pPr>
                    <w:spacing w:after="0" w:line="240" w:lineRule="auto"/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-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  <w:r w:rsidRPr="00E42840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vertAlign w:val="subscript"/>
                      <w:lang w:eastAsia="it-IT"/>
                    </w:rPr>
                    <w:t>i</w:t>
                  </w:r>
                </w:p>
              </w:tc>
            </w:tr>
          </w:tbl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>
              <w:rPr>
                <w:rFonts w:ascii="Calibri" w:hAnsi="Calibri" w:cs="ArialNarrow"/>
                <w:sz w:val="20"/>
                <w:szCs w:val="20"/>
                <w:lang w:eastAsia="it-IT"/>
              </w:rPr>
              <w:t>Dove: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f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 xml:space="preserve"> 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= punteggio </w:t>
            </w: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5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i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punteggio min = 1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X = punteggio incognito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>f</w:t>
            </w:r>
            <w:proofErr w:type="spellEnd"/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= offerta migliore</w:t>
            </w:r>
          </w:p>
          <w:p w:rsidR="00E42840" w:rsidRPr="00E42840" w:rsidRDefault="00E42840" w:rsidP="00E4284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vertAlign w:val="subscript"/>
                <w:lang w:eastAsia="it-IT"/>
              </w:rPr>
              <w:t xml:space="preserve">i </w:t>
            </w: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= offerta peggiore</w:t>
            </w:r>
          </w:p>
          <w:p w:rsidR="00C14ED9" w:rsidRPr="00E42840" w:rsidRDefault="00E42840" w:rsidP="00C534E8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  <w:lang w:eastAsia="it-IT"/>
              </w:rPr>
            </w:pPr>
            <w:r w:rsidRPr="00E42840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 = offerta in esame</w:t>
            </w:r>
          </w:p>
        </w:tc>
        <w:tc>
          <w:tcPr>
            <w:tcW w:w="2835" w:type="dxa"/>
          </w:tcPr>
          <w:p w:rsidR="00C14ED9" w:rsidRDefault="00C14ED9" w:rsidP="00C534E8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4"/>
                <w:szCs w:val="24"/>
              </w:rPr>
            </w:pPr>
          </w:p>
        </w:tc>
      </w:tr>
    </w:tbl>
    <w:p w:rsidR="00C14ED9" w:rsidRPr="00C14ED9" w:rsidRDefault="00C14ED9" w:rsidP="00C534E8">
      <w:pPr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</w:p>
    <w:p w:rsidR="00C14ED9" w:rsidRPr="00D9358F" w:rsidRDefault="00C14ED9" w:rsidP="00D9358F">
      <w:pPr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</w:p>
    <w:p w:rsidR="00D9358F" w:rsidRPr="00D9358F" w:rsidRDefault="00C534E8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lastRenderedPageBreak/>
        <w:t xml:space="preserve">Data </w:t>
      </w:r>
      <w:r w:rsidR="00D9358F">
        <w:rPr>
          <w:rFonts w:ascii="Calibri" w:hAnsi="Calibri" w:cs="ArialNarrow,Bold"/>
          <w:bCs/>
          <w:sz w:val="24"/>
          <w:szCs w:val="24"/>
        </w:rPr>
        <w:t>____________</w:t>
      </w:r>
      <w:r w:rsidR="00D9358F" w:rsidRPr="00D9358F">
        <w:rPr>
          <w:rFonts w:ascii="Calibri" w:hAnsi="Calibri" w:cs="ArialNarrow,Bold"/>
          <w:bCs/>
          <w:sz w:val="24"/>
          <w:szCs w:val="24"/>
        </w:rPr>
        <w:tab/>
      </w:r>
      <w:r w:rsidRPr="00D9358F">
        <w:rPr>
          <w:rFonts w:ascii="Calibri" w:hAnsi="Calibri" w:cs="ArialNarrow,Bold"/>
          <w:bCs/>
          <w:sz w:val="24"/>
          <w:szCs w:val="24"/>
        </w:rPr>
        <w:t xml:space="preserve">Il Rappresentante </w:t>
      </w:r>
      <w:r w:rsidR="00D9358F" w:rsidRPr="00D9358F">
        <w:rPr>
          <w:rFonts w:ascii="Calibri" w:hAnsi="Calibri" w:cs="ArialNarrow,Bold"/>
          <w:bCs/>
          <w:sz w:val="24"/>
          <w:szCs w:val="24"/>
        </w:rPr>
        <w:t>l</w:t>
      </w:r>
      <w:r w:rsidRPr="00D9358F">
        <w:rPr>
          <w:rFonts w:ascii="Calibri" w:hAnsi="Calibri" w:cs="ArialNarrow,Bold"/>
          <w:bCs/>
          <w:sz w:val="24"/>
          <w:szCs w:val="24"/>
        </w:rPr>
        <w:t>egale</w:t>
      </w:r>
    </w:p>
    <w:p w:rsidR="00D9358F" w:rsidRPr="00D9358F" w:rsidRDefault="00D9358F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ab/>
        <w:t>__________________________</w:t>
      </w:r>
    </w:p>
    <w:p w:rsidR="00D9358F" w:rsidRPr="00D9358F" w:rsidRDefault="00D9358F" w:rsidP="00D9358F">
      <w:pPr>
        <w:tabs>
          <w:tab w:val="center" w:pos="170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ab/>
      </w:r>
      <w:r w:rsidR="00C534E8" w:rsidRPr="00D9358F">
        <w:rPr>
          <w:rFonts w:ascii="Calibri" w:hAnsi="Calibri" w:cs="ArialNarrow,Bold"/>
          <w:bCs/>
          <w:sz w:val="24"/>
          <w:szCs w:val="24"/>
        </w:rPr>
        <w:t>Oppure</w:t>
      </w:r>
    </w:p>
    <w:p w:rsidR="00D9358F" w:rsidRPr="00D9358F" w:rsidRDefault="00C534E8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 xml:space="preserve">Data </w:t>
      </w:r>
      <w:r w:rsidR="00D9358F">
        <w:rPr>
          <w:rFonts w:ascii="Calibri" w:hAnsi="Calibri" w:cs="ArialNarrow,Bold"/>
          <w:bCs/>
          <w:sz w:val="24"/>
          <w:szCs w:val="24"/>
        </w:rPr>
        <w:t>____________</w:t>
      </w:r>
      <w:r w:rsidR="00D9358F" w:rsidRPr="00D9358F">
        <w:rPr>
          <w:rFonts w:ascii="Calibri" w:hAnsi="Calibri" w:cs="ArialNarrow,Bold"/>
          <w:bCs/>
          <w:sz w:val="24"/>
          <w:szCs w:val="24"/>
        </w:rPr>
        <w:tab/>
      </w:r>
      <w:r w:rsidRPr="00D9358F">
        <w:rPr>
          <w:rFonts w:ascii="Calibri" w:hAnsi="Calibri" w:cs="ArialNarrow,Bold"/>
          <w:bCs/>
          <w:sz w:val="24"/>
          <w:szCs w:val="24"/>
        </w:rPr>
        <w:t>I Rappresentanti</w:t>
      </w:r>
      <w:r w:rsidR="00D9358F" w:rsidRPr="00D9358F">
        <w:rPr>
          <w:rFonts w:ascii="Calibri" w:hAnsi="Calibri" w:cs="ArialNarrow,Bold"/>
          <w:bCs/>
          <w:sz w:val="24"/>
          <w:szCs w:val="24"/>
        </w:rPr>
        <w:t xml:space="preserve"> l</w:t>
      </w:r>
      <w:r w:rsidRPr="00D9358F">
        <w:rPr>
          <w:rFonts w:ascii="Calibri" w:hAnsi="Calibri" w:cs="ArialNarrow,Bold"/>
          <w:bCs/>
          <w:sz w:val="24"/>
          <w:szCs w:val="24"/>
        </w:rPr>
        <w:t>egali</w:t>
      </w:r>
    </w:p>
    <w:p w:rsidR="00C534E8" w:rsidRPr="00D9358F" w:rsidRDefault="00D9358F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ab/>
        <w:t>__________________________</w:t>
      </w:r>
    </w:p>
    <w:p w:rsidR="00D9358F" w:rsidRPr="00D9358F" w:rsidRDefault="00D9358F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ab/>
        <w:t>__________________________</w:t>
      </w:r>
    </w:p>
    <w:p w:rsidR="00D9358F" w:rsidRPr="00D9358F" w:rsidRDefault="00D9358F" w:rsidP="00D9358F">
      <w:pPr>
        <w:tabs>
          <w:tab w:val="center" w:pos="4111"/>
        </w:tabs>
        <w:autoSpaceDE w:val="0"/>
        <w:autoSpaceDN w:val="0"/>
        <w:adjustRightInd w:val="0"/>
        <w:spacing w:after="0" w:line="360" w:lineRule="auto"/>
        <w:rPr>
          <w:rFonts w:ascii="Calibri" w:hAnsi="Calibri" w:cs="ArialNarrow,Bold"/>
          <w:bCs/>
          <w:sz w:val="24"/>
          <w:szCs w:val="24"/>
        </w:rPr>
      </w:pPr>
      <w:r w:rsidRPr="00D9358F">
        <w:rPr>
          <w:rFonts w:ascii="Calibri" w:hAnsi="Calibri" w:cs="ArialNarrow,Bold"/>
          <w:bCs/>
          <w:sz w:val="24"/>
          <w:szCs w:val="24"/>
        </w:rPr>
        <w:tab/>
        <w:t>__________________________</w:t>
      </w:r>
    </w:p>
    <w:p w:rsidR="00D9358F" w:rsidRDefault="00D9358F" w:rsidP="00D93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</w:p>
    <w:p w:rsidR="00A76D36" w:rsidRPr="00D9358F" w:rsidRDefault="00C534E8" w:rsidP="00D93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 w:rsidRPr="00C14ED9">
        <w:rPr>
          <w:rFonts w:ascii="Calibri" w:hAnsi="Calibri" w:cs="ArialNarrow,Bold"/>
          <w:b/>
          <w:bCs/>
          <w:sz w:val="24"/>
          <w:szCs w:val="24"/>
        </w:rPr>
        <w:t>N.B. In caso di raggruppamento temporaneo l’offerta dovrà essere sottoscritta da tutti i soggetti raggruppati, qualora non sia stato ancora conferito mandato speciale di</w:t>
      </w:r>
      <w:r w:rsidR="00D9358F">
        <w:rPr>
          <w:rFonts w:ascii="Calibri" w:hAnsi="Calibri" w:cs="ArialNarrow,Bold"/>
          <w:b/>
          <w:bCs/>
          <w:sz w:val="24"/>
          <w:szCs w:val="24"/>
        </w:rPr>
        <w:t xml:space="preserve"> </w:t>
      </w:r>
      <w:r w:rsidRPr="00C14ED9">
        <w:rPr>
          <w:rFonts w:ascii="Calibri" w:hAnsi="Calibri" w:cs="ArialNarrow,Bold"/>
          <w:b/>
          <w:bCs/>
          <w:sz w:val="24"/>
          <w:szCs w:val="24"/>
        </w:rPr>
        <w:t>rappresentanza. Ove le</w:t>
      </w:r>
      <w:r w:rsidR="00D9358F">
        <w:rPr>
          <w:rFonts w:ascii="Calibri" w:hAnsi="Calibri" w:cs="ArialNarrow,Bold"/>
          <w:b/>
          <w:bCs/>
          <w:sz w:val="24"/>
          <w:szCs w:val="24"/>
        </w:rPr>
        <w:t xml:space="preserve"> firme delle dichiarazioni non vengano autenticate, le stesse vanno accompagnate da fotocopia di un documento d’identità del/dei sottoscrittore/i, in corso di validità.</w:t>
      </w:r>
    </w:p>
    <w:sectPr w:rsidR="00A76D36" w:rsidRPr="00D9358F" w:rsidSect="003B7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DB7"/>
    <w:multiLevelType w:val="hybridMultilevel"/>
    <w:tmpl w:val="C108F600"/>
    <w:lvl w:ilvl="0" w:tplc="19204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3F3"/>
    <w:multiLevelType w:val="hybridMultilevel"/>
    <w:tmpl w:val="C108F600"/>
    <w:lvl w:ilvl="0" w:tplc="19204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5CC7"/>
    <w:multiLevelType w:val="hybridMultilevel"/>
    <w:tmpl w:val="C108F600"/>
    <w:lvl w:ilvl="0" w:tplc="19204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02F5"/>
    <w:multiLevelType w:val="hybridMultilevel"/>
    <w:tmpl w:val="C108F600"/>
    <w:lvl w:ilvl="0" w:tplc="192044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E1F8A"/>
    <w:multiLevelType w:val="hybridMultilevel"/>
    <w:tmpl w:val="C0D65806"/>
    <w:lvl w:ilvl="0" w:tplc="4920AF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C534E8"/>
    <w:rsid w:val="003B7D6F"/>
    <w:rsid w:val="004F4765"/>
    <w:rsid w:val="00595A65"/>
    <w:rsid w:val="006006A6"/>
    <w:rsid w:val="006943E0"/>
    <w:rsid w:val="007133F6"/>
    <w:rsid w:val="007503BC"/>
    <w:rsid w:val="00831874"/>
    <w:rsid w:val="009579C6"/>
    <w:rsid w:val="00A76D36"/>
    <w:rsid w:val="00BC3207"/>
    <w:rsid w:val="00C14ED9"/>
    <w:rsid w:val="00C534E8"/>
    <w:rsid w:val="00D9358F"/>
    <w:rsid w:val="00D9735E"/>
    <w:rsid w:val="00E42840"/>
    <w:rsid w:val="00E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A648-A26A-428F-9412-DF5419FA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g.saulle</cp:lastModifiedBy>
  <cp:revision>9</cp:revision>
  <cp:lastPrinted>2013-10-23T08:26:00Z</cp:lastPrinted>
  <dcterms:created xsi:type="dcterms:W3CDTF">2013-10-22T04:33:00Z</dcterms:created>
  <dcterms:modified xsi:type="dcterms:W3CDTF">2013-11-02T09:11:00Z</dcterms:modified>
</cp:coreProperties>
</file>